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420FD" w14:textId="77777777" w:rsidR="004564C4" w:rsidRPr="00CF06B8" w:rsidRDefault="00000000" w:rsidP="00CF06B8">
      <w:pPr>
        <w:widowControl w:val="0"/>
        <w:spacing w:line="240" w:lineRule="auto"/>
        <w:ind w:left="576" w:right="-20"/>
        <w:rPr>
          <w:rFonts w:asciiTheme="minorBidi" w:eastAsia="Arial" w:hAnsiTheme="minorBidi" w:cstheme="minorBidi"/>
          <w:b/>
          <w:bCs/>
          <w:color w:val="000000"/>
          <w:rtl/>
        </w:rPr>
      </w:pPr>
      <w:bookmarkStart w:id="0" w:name="_page_3_0"/>
      <w:r w:rsidRPr="00CF06B8">
        <w:rPr>
          <w:rFonts w:asciiTheme="minorBidi" w:hAnsiTheme="minorBidi" w:cstheme="minorBidi"/>
          <w:b/>
          <w:bCs/>
          <w:color w:val="000000"/>
          <w:rtl/>
        </w:rPr>
        <w:t>الملحق (ب)1: الاعتبارات الأخلاقية لفرق البحث والإنقاذ في المناطق الحضرية</w:t>
      </w:r>
    </w:p>
    <w:p w14:paraId="084289D1" w14:textId="77777777" w:rsidR="004564C4" w:rsidRPr="00CF06B8" w:rsidRDefault="004564C4">
      <w:pPr>
        <w:spacing w:after="12" w:line="140" w:lineRule="exact"/>
        <w:rPr>
          <w:rFonts w:asciiTheme="minorBidi" w:eastAsia="Arial" w:hAnsiTheme="minorBidi" w:cstheme="minorBidi"/>
          <w:sz w:val="14"/>
          <w:szCs w:val="14"/>
        </w:rPr>
      </w:pPr>
    </w:p>
    <w:p w14:paraId="7BADCCCC" w14:textId="2A01575A" w:rsidR="004564C4" w:rsidRPr="00CF06B8" w:rsidRDefault="00000000" w:rsidP="00CF06B8">
      <w:pPr>
        <w:widowControl w:val="0"/>
        <w:spacing w:after="40" w:line="277" w:lineRule="auto"/>
        <w:ind w:left="720" w:right="540" w:hanging="359"/>
        <w:rPr>
          <w:rFonts w:asciiTheme="minorBidi" w:eastAsia="Arial" w:hAnsiTheme="minorBidi" w:cstheme="minorBidi"/>
          <w:color w:val="000000"/>
          <w:sz w:val="24"/>
          <w:rtl/>
        </w:rPr>
      </w:pPr>
      <w:r w:rsidRPr="00CF06B8">
        <w:rPr>
          <w:rFonts w:asciiTheme="minorBidi" w:hAnsiTheme="minorBidi" w:cstheme="minorBidi"/>
          <w:color w:val="000000"/>
          <w:sz w:val="24"/>
          <w:rtl/>
        </w:rPr>
        <w:t>1.</w:t>
      </w:r>
      <w:r w:rsidRPr="00CF06B8">
        <w:rPr>
          <w:rFonts w:asciiTheme="minorBidi" w:hAnsiTheme="minorBidi" w:cstheme="minorBidi"/>
          <w:color w:val="000000"/>
          <w:sz w:val="24"/>
          <w:rtl/>
        </w:rPr>
        <w:tab/>
        <w:t>يُعد سلوك أعضاء فريق البحث والإنقاذ في المناطق الحضرية المنتشر مثار قلق رئيسيًا للفريق الاستشاري الدولي للبحث والإنقاذ والبلدان المساعدة والمتضرّرة والمسؤولين المحليين للبلد المتضرّر.</w:t>
      </w:r>
    </w:p>
    <w:p w14:paraId="55969EF3" w14:textId="3D8E08A4" w:rsidR="004564C4" w:rsidRPr="00CF06B8" w:rsidRDefault="00000000" w:rsidP="00CF06B8">
      <w:pPr>
        <w:widowControl w:val="0"/>
        <w:spacing w:after="40" w:line="277" w:lineRule="auto"/>
        <w:ind w:left="720" w:right="540" w:hanging="359"/>
        <w:rPr>
          <w:rFonts w:asciiTheme="minorBidi" w:eastAsia="Arial" w:hAnsiTheme="minorBidi" w:cstheme="minorBidi"/>
          <w:color w:val="000000"/>
          <w:sz w:val="24"/>
          <w:rtl/>
        </w:rPr>
      </w:pPr>
      <w:r w:rsidRPr="00CF06B8">
        <w:rPr>
          <w:rFonts w:asciiTheme="minorBidi" w:hAnsiTheme="minorBidi" w:cstheme="minorBidi"/>
          <w:color w:val="000000"/>
          <w:sz w:val="24"/>
          <w:rtl/>
        </w:rPr>
        <w:t>2.</w:t>
      </w:r>
      <w:r w:rsidRPr="00CF06B8">
        <w:rPr>
          <w:rFonts w:asciiTheme="minorBidi" w:hAnsiTheme="minorBidi" w:cstheme="minorBidi"/>
          <w:color w:val="000000"/>
          <w:sz w:val="24"/>
          <w:rtl/>
        </w:rPr>
        <w:tab/>
        <w:t>يجب أن تكون غاية فرق البحث والإنقاذ في المناطق الحضرية دائمًا الظهور بمظهر ممثلي مجموعة جيدة التنظيم وعالية التدريب من المتخصصين الذين أُوكلت إليهم مهام مساعدة المجتمعات التي تحتاج إلى مساعدتهم المتخصصة. في نهاية البعثة، يُفترض أن تتأكد فرق البحث والإنقاذ في المناطق الحضرية من إيجابية أدائها، وستبقى ذكراهم بفضل الطريقة الرائعة التي انتهجوها في بيئة العمل والمجتمع.</w:t>
      </w:r>
    </w:p>
    <w:p w14:paraId="0E5CBF66" w14:textId="2D3EA7D5" w:rsidR="004564C4" w:rsidRPr="00CF06B8" w:rsidRDefault="00000000" w:rsidP="00CF06B8">
      <w:pPr>
        <w:widowControl w:val="0"/>
        <w:spacing w:after="40" w:line="277" w:lineRule="auto"/>
        <w:ind w:left="720" w:right="540" w:hanging="359"/>
        <w:rPr>
          <w:rFonts w:asciiTheme="minorBidi" w:eastAsia="Arial" w:hAnsiTheme="minorBidi" w:cstheme="minorBidi"/>
          <w:color w:val="000000"/>
          <w:sz w:val="24"/>
          <w:rtl/>
        </w:rPr>
      </w:pPr>
      <w:r w:rsidRPr="00CF06B8">
        <w:rPr>
          <w:rFonts w:asciiTheme="minorBidi" w:hAnsiTheme="minorBidi" w:cstheme="minorBidi"/>
          <w:color w:val="000000"/>
          <w:sz w:val="24"/>
          <w:rtl/>
        </w:rPr>
        <w:t>3.</w:t>
      </w:r>
      <w:r w:rsidRPr="00CF06B8">
        <w:rPr>
          <w:rFonts w:asciiTheme="minorBidi" w:hAnsiTheme="minorBidi" w:cstheme="minorBidi"/>
          <w:color w:val="000000"/>
          <w:sz w:val="24"/>
          <w:rtl/>
        </w:rPr>
        <w:tab/>
        <w:t>تتضمن الاعتبارات الأخلاقية حقوق الإنسان والمسائل القانونية والأخلاقية والثقافية وتهتم بالعلاقة بين أعضاء فريق البحث والإنقاذ في المناطق الحضرية ومجتمع البلد المتضرّر.</w:t>
      </w:r>
    </w:p>
    <w:p w14:paraId="17276DD8" w14:textId="7B6FBB6D" w:rsidR="004564C4" w:rsidRPr="00CF06B8" w:rsidRDefault="00000000" w:rsidP="00CF06B8">
      <w:pPr>
        <w:widowControl w:val="0"/>
        <w:spacing w:after="40" w:line="277" w:lineRule="auto"/>
        <w:ind w:left="720" w:right="540" w:hanging="359"/>
        <w:rPr>
          <w:rFonts w:asciiTheme="minorBidi" w:eastAsia="Arial" w:hAnsiTheme="minorBidi" w:cstheme="minorBidi"/>
          <w:color w:val="000000"/>
          <w:sz w:val="24"/>
          <w:rtl/>
        </w:rPr>
      </w:pPr>
      <w:r w:rsidRPr="00CF06B8">
        <w:rPr>
          <w:rFonts w:asciiTheme="minorBidi" w:hAnsiTheme="minorBidi" w:cstheme="minorBidi"/>
          <w:color w:val="000000"/>
          <w:sz w:val="24"/>
          <w:rtl/>
        </w:rPr>
        <w:t>4.</w:t>
      </w:r>
      <w:r w:rsidRPr="00CF06B8">
        <w:rPr>
          <w:rFonts w:asciiTheme="minorBidi" w:hAnsiTheme="minorBidi" w:cstheme="minorBidi"/>
          <w:color w:val="000000"/>
          <w:sz w:val="24"/>
          <w:rtl/>
        </w:rPr>
        <w:tab/>
        <w:t>يعد جميع أعضاء فريق البحث والإنقاذ في المناطق الحضرية التابع للفريق الاستشاري الدولي للبحث والإنقاذ سفراء لفريقهم وبلدهم، ويمثلون مجتمع الفريق الاستشاري الدولي للبحث والإنقاذ الأوسع نطاقًا. سيُنظر إلى أي انتهاك للمبادئ أو التصرف غير اللائق من جهة أعضاء الفريق على أنه غير مهني. قد يُسيء أي تصرف غير لائق إلى العمل الجيد لفريق البحث والإنقاذ في المناطق الحضرية وسينعكس سلبًا على أداء الفريق بأكمله وعلى موطنهم وكذلك على مجتمع الفريق الاستشاري الدولي للبحث والإنقاذ ككل.</w:t>
      </w:r>
    </w:p>
    <w:p w14:paraId="5EADBD60" w14:textId="3882C8F4" w:rsidR="004564C4" w:rsidRPr="00CF06B8" w:rsidRDefault="00000000" w:rsidP="00CF06B8">
      <w:pPr>
        <w:widowControl w:val="0"/>
        <w:spacing w:after="40" w:line="277" w:lineRule="auto"/>
        <w:ind w:left="720" w:right="540" w:hanging="359"/>
        <w:rPr>
          <w:rFonts w:asciiTheme="minorBidi" w:eastAsia="Arial" w:hAnsiTheme="minorBidi" w:cstheme="minorBidi"/>
          <w:color w:val="000000"/>
          <w:sz w:val="24"/>
          <w:rtl/>
        </w:rPr>
      </w:pPr>
      <w:r w:rsidRPr="00CF06B8">
        <w:rPr>
          <w:rFonts w:asciiTheme="minorBidi" w:hAnsiTheme="minorBidi" w:cstheme="minorBidi"/>
          <w:color w:val="000000"/>
          <w:sz w:val="24"/>
          <w:rtl/>
        </w:rPr>
        <w:t>5.</w:t>
      </w:r>
      <w:r w:rsidRPr="00CF06B8">
        <w:rPr>
          <w:rFonts w:asciiTheme="minorBidi" w:hAnsiTheme="minorBidi" w:cstheme="minorBidi"/>
          <w:color w:val="000000"/>
          <w:sz w:val="24"/>
          <w:rtl/>
        </w:rPr>
        <w:tab/>
        <w:t>لا ينبغي لأعضاء فريق البحث والإنقاذ في المناطق الحضرية الانتفاع من أي موقف أو فرصة أو استغلالها، ويتحمل جميع أعضاء الفريق مسؤولية انتهاج السلوك المهني على الدوام.</w:t>
      </w:r>
    </w:p>
    <w:p w14:paraId="4A46F7C5" w14:textId="7388087C" w:rsidR="004564C4" w:rsidRPr="00CF06B8" w:rsidRDefault="00000000" w:rsidP="00CF06B8">
      <w:pPr>
        <w:widowControl w:val="0"/>
        <w:spacing w:after="40" w:line="277" w:lineRule="auto"/>
        <w:ind w:left="720" w:right="540" w:hanging="359"/>
        <w:rPr>
          <w:rFonts w:asciiTheme="minorBidi" w:eastAsia="Arial" w:hAnsiTheme="minorBidi" w:cstheme="minorBidi"/>
          <w:color w:val="000000"/>
          <w:sz w:val="24"/>
          <w:rtl/>
        </w:rPr>
      </w:pPr>
      <w:r w:rsidRPr="00CF06B8">
        <w:rPr>
          <w:rFonts w:asciiTheme="minorBidi" w:hAnsiTheme="minorBidi" w:cstheme="minorBidi"/>
          <w:color w:val="000000"/>
          <w:sz w:val="24"/>
          <w:rtl/>
        </w:rPr>
        <w:t>6.</w:t>
      </w:r>
      <w:r w:rsidRPr="00CF06B8">
        <w:rPr>
          <w:rFonts w:asciiTheme="minorBidi" w:hAnsiTheme="minorBidi" w:cstheme="minorBidi"/>
          <w:color w:val="000000"/>
          <w:sz w:val="24"/>
          <w:rtl/>
        </w:rPr>
        <w:tab/>
        <w:t>يلزم أن تتمتع فرق البحث والإنقاذ في المناطق الحضرية التي تنتشر على المستوى الدولي بالكفاية الذاتية؛ لضمان أنها لا تشكل في أي وقت عبئًا على البلد المتضرّر التي تحاول تقديم يد العون إليه.</w:t>
      </w:r>
    </w:p>
    <w:p w14:paraId="1F9C2FFD" w14:textId="77777777" w:rsidR="004564C4" w:rsidRPr="00CF06B8" w:rsidRDefault="004564C4" w:rsidP="00CF06B8">
      <w:pPr>
        <w:spacing w:after="40" w:line="180" w:lineRule="exact"/>
        <w:rPr>
          <w:rFonts w:asciiTheme="minorBidi" w:eastAsia="Arial" w:hAnsiTheme="minorBidi" w:cstheme="minorBidi"/>
          <w:sz w:val="24"/>
        </w:rPr>
      </w:pPr>
    </w:p>
    <w:p w14:paraId="45E9B435" w14:textId="77777777" w:rsidR="004564C4" w:rsidRPr="00CF06B8" w:rsidRDefault="00000000" w:rsidP="00CF06B8">
      <w:pPr>
        <w:widowControl w:val="0"/>
        <w:spacing w:after="40" w:line="278" w:lineRule="auto"/>
        <w:ind w:right="544"/>
        <w:rPr>
          <w:rFonts w:asciiTheme="minorBidi" w:eastAsia="Arial" w:hAnsiTheme="minorBidi" w:cstheme="minorBidi"/>
          <w:color w:val="000000"/>
          <w:sz w:val="24"/>
          <w:rtl/>
        </w:rPr>
      </w:pPr>
      <w:r w:rsidRPr="00CF06B8">
        <w:rPr>
          <w:rFonts w:asciiTheme="minorBidi" w:hAnsiTheme="minorBidi" w:cstheme="minorBidi"/>
          <w:color w:val="000000"/>
          <w:sz w:val="24"/>
          <w:rtl/>
        </w:rPr>
        <w:t>يعمل الفريق الاستشاري الدولي للبحث والإنقاذ وفقًا للمبادئ الإنسانية التي تشكل جوهر العمل الإنساني.</w:t>
      </w:r>
    </w:p>
    <w:p w14:paraId="31B3310B" w14:textId="77777777" w:rsidR="004564C4" w:rsidRPr="00CF06B8" w:rsidRDefault="004564C4" w:rsidP="00CF06B8">
      <w:pPr>
        <w:spacing w:after="40" w:line="180" w:lineRule="exact"/>
        <w:rPr>
          <w:rFonts w:asciiTheme="minorBidi" w:eastAsia="Arial" w:hAnsiTheme="minorBidi" w:cstheme="minorBidi"/>
          <w:sz w:val="24"/>
        </w:rPr>
      </w:pPr>
    </w:p>
    <w:p w14:paraId="426D3A07" w14:textId="77777777" w:rsidR="004564C4" w:rsidRPr="00CF06B8" w:rsidRDefault="00000000" w:rsidP="00CF06B8">
      <w:pPr>
        <w:widowControl w:val="0"/>
        <w:spacing w:after="40" w:line="240" w:lineRule="auto"/>
        <w:ind w:right="-20"/>
        <w:rPr>
          <w:rFonts w:asciiTheme="minorBidi" w:eastAsia="Arial" w:hAnsiTheme="minorBidi" w:cstheme="minorBidi"/>
          <w:b/>
          <w:bCs/>
          <w:color w:val="000000"/>
          <w:sz w:val="24"/>
          <w:rtl/>
        </w:rPr>
      </w:pPr>
      <w:r w:rsidRPr="00CF06B8">
        <w:rPr>
          <w:rFonts w:asciiTheme="minorBidi" w:hAnsiTheme="minorBidi" w:cstheme="minorBidi"/>
          <w:b/>
          <w:bCs/>
          <w:color w:val="000000"/>
          <w:sz w:val="24"/>
          <w:rtl/>
        </w:rPr>
        <w:t>مسائل حسّاسة يتعين أخذها في الاعتبار:</w:t>
      </w:r>
    </w:p>
    <w:p w14:paraId="7357FFDF" w14:textId="77777777" w:rsidR="004564C4" w:rsidRPr="00CF06B8" w:rsidRDefault="004564C4" w:rsidP="00CF06B8">
      <w:pPr>
        <w:spacing w:after="40" w:line="220" w:lineRule="exact"/>
        <w:rPr>
          <w:rFonts w:asciiTheme="minorBidi" w:eastAsia="Arial" w:hAnsiTheme="minorBidi" w:cstheme="minorBidi"/>
          <w:sz w:val="24"/>
        </w:rPr>
      </w:pPr>
    </w:p>
    <w:p w14:paraId="12000C58" w14:textId="417DB0C2" w:rsidR="004564C4" w:rsidRPr="00CF06B8" w:rsidRDefault="00000000" w:rsidP="00CF06B8">
      <w:pPr>
        <w:widowControl w:val="0"/>
        <w:spacing w:after="40" w:line="277" w:lineRule="auto"/>
        <w:ind w:left="720" w:right="540" w:hanging="359"/>
        <w:rPr>
          <w:rFonts w:asciiTheme="minorBidi" w:eastAsia="Arial" w:hAnsiTheme="minorBidi" w:cstheme="minorBidi"/>
          <w:color w:val="000000"/>
          <w:sz w:val="24"/>
          <w:rtl/>
        </w:rPr>
      </w:pPr>
      <w:r w:rsidRPr="00CF06B8">
        <w:rPr>
          <w:rFonts w:asciiTheme="minorBidi" w:hAnsiTheme="minorBidi" w:cstheme="minorBidi"/>
          <w:color w:val="000000"/>
          <w:sz w:val="24"/>
          <w:rtl/>
        </w:rPr>
        <w:t>1.</w:t>
      </w:r>
      <w:r w:rsidRPr="00CF06B8">
        <w:rPr>
          <w:rFonts w:asciiTheme="minorBidi" w:hAnsiTheme="minorBidi" w:cstheme="minorBidi"/>
          <w:color w:val="000000"/>
          <w:sz w:val="24"/>
          <w:rtl/>
        </w:rPr>
        <w:tab/>
        <w:t>القيمة التي يربطها المجتمع المحلي بالحياة.</w:t>
      </w:r>
    </w:p>
    <w:p w14:paraId="26E6490A" w14:textId="391A7FAD" w:rsidR="004564C4" w:rsidRPr="00CF06B8" w:rsidRDefault="00000000" w:rsidP="00CF06B8">
      <w:pPr>
        <w:widowControl w:val="0"/>
        <w:spacing w:after="40" w:line="277" w:lineRule="auto"/>
        <w:ind w:left="720" w:right="540" w:hanging="359"/>
        <w:rPr>
          <w:rFonts w:asciiTheme="minorBidi" w:eastAsia="Arial" w:hAnsiTheme="minorBidi" w:cstheme="minorBidi"/>
          <w:color w:val="000000"/>
          <w:sz w:val="24"/>
          <w:rtl/>
        </w:rPr>
      </w:pPr>
      <w:r w:rsidRPr="00CF06B8">
        <w:rPr>
          <w:rFonts w:asciiTheme="minorBidi" w:hAnsiTheme="minorBidi" w:cstheme="minorBidi"/>
          <w:color w:val="000000"/>
          <w:sz w:val="24"/>
          <w:rtl/>
        </w:rPr>
        <w:t>2.</w:t>
      </w:r>
      <w:r w:rsidRPr="00CF06B8">
        <w:rPr>
          <w:rFonts w:asciiTheme="minorBidi" w:hAnsiTheme="minorBidi" w:cstheme="minorBidi"/>
          <w:color w:val="000000"/>
          <w:sz w:val="24"/>
          <w:rtl/>
        </w:rPr>
        <w:tab/>
        <w:t>الوعي الثقافي، بما في ذلك العرق والدين والجنسية.</w:t>
      </w:r>
    </w:p>
    <w:p w14:paraId="6B8CB988" w14:textId="5F154369" w:rsidR="004564C4" w:rsidRPr="00CF06B8" w:rsidRDefault="00000000" w:rsidP="00CF06B8">
      <w:pPr>
        <w:widowControl w:val="0"/>
        <w:spacing w:after="40" w:line="277" w:lineRule="auto"/>
        <w:ind w:left="720" w:right="540" w:hanging="359"/>
        <w:rPr>
          <w:rFonts w:asciiTheme="minorBidi" w:eastAsia="Arial" w:hAnsiTheme="minorBidi" w:cstheme="minorBidi"/>
          <w:color w:val="000000"/>
          <w:sz w:val="24"/>
          <w:rtl/>
        </w:rPr>
      </w:pPr>
      <w:r w:rsidRPr="00CF06B8">
        <w:rPr>
          <w:rFonts w:asciiTheme="minorBidi" w:hAnsiTheme="minorBidi" w:cstheme="minorBidi"/>
          <w:color w:val="000000"/>
          <w:sz w:val="24"/>
          <w:rtl/>
        </w:rPr>
        <w:t>3.</w:t>
      </w:r>
      <w:r w:rsidRPr="00CF06B8">
        <w:rPr>
          <w:rFonts w:asciiTheme="minorBidi" w:hAnsiTheme="minorBidi" w:cstheme="minorBidi"/>
          <w:color w:val="000000"/>
          <w:sz w:val="24"/>
          <w:rtl/>
        </w:rPr>
        <w:tab/>
        <w:t>ارتداء النظارات الشمسية في أثناء المحادثات قد يعتبر غير ملائم. 4. عوائق التواصل بسبب الاختلافات اللغوية.</w:t>
      </w:r>
    </w:p>
    <w:p w14:paraId="10B67964" w14:textId="5C353B96" w:rsidR="004564C4" w:rsidRPr="00CF06B8" w:rsidRDefault="00000000" w:rsidP="00CF06B8">
      <w:pPr>
        <w:widowControl w:val="0"/>
        <w:spacing w:after="40" w:line="277" w:lineRule="auto"/>
        <w:ind w:left="720" w:right="540" w:hanging="359"/>
        <w:rPr>
          <w:rFonts w:asciiTheme="minorBidi" w:eastAsia="Arial" w:hAnsiTheme="minorBidi" w:cstheme="minorBidi"/>
          <w:color w:val="000000"/>
          <w:sz w:val="24"/>
          <w:rtl/>
        </w:rPr>
      </w:pPr>
      <w:r w:rsidRPr="00CF06B8">
        <w:rPr>
          <w:rFonts w:asciiTheme="minorBidi" w:hAnsiTheme="minorBidi" w:cstheme="minorBidi"/>
          <w:color w:val="000000"/>
          <w:sz w:val="24"/>
          <w:rtl/>
        </w:rPr>
        <w:t>5.</w:t>
      </w:r>
      <w:r w:rsidRPr="00CF06B8">
        <w:rPr>
          <w:rFonts w:asciiTheme="minorBidi" w:hAnsiTheme="minorBidi" w:cstheme="minorBidi"/>
          <w:color w:val="000000"/>
          <w:sz w:val="24"/>
          <w:rtl/>
        </w:rPr>
        <w:tab/>
        <w:t>الاختلافات في أخلاقيات العمل وقيمه. 6. اختلاف الزي المحلي.</w:t>
      </w:r>
    </w:p>
    <w:p w14:paraId="435BA2DB" w14:textId="6EE38CFA" w:rsidR="004564C4" w:rsidRPr="00CF06B8" w:rsidRDefault="00000000" w:rsidP="00CF06B8">
      <w:pPr>
        <w:widowControl w:val="0"/>
        <w:spacing w:after="40" w:line="277" w:lineRule="auto"/>
        <w:ind w:left="720" w:right="540" w:hanging="359"/>
        <w:rPr>
          <w:rFonts w:asciiTheme="minorBidi" w:eastAsia="Arial" w:hAnsiTheme="minorBidi" w:cstheme="minorBidi"/>
          <w:color w:val="000000"/>
          <w:sz w:val="24"/>
          <w:rtl/>
        </w:rPr>
      </w:pPr>
      <w:r w:rsidRPr="00CF06B8">
        <w:rPr>
          <w:rFonts w:asciiTheme="minorBidi" w:hAnsiTheme="minorBidi" w:cstheme="minorBidi"/>
          <w:color w:val="000000"/>
          <w:sz w:val="24"/>
          <w:rtl/>
        </w:rPr>
        <w:t>7.</w:t>
      </w:r>
      <w:r w:rsidRPr="00CF06B8">
        <w:rPr>
          <w:rFonts w:asciiTheme="minorBidi" w:hAnsiTheme="minorBidi" w:cstheme="minorBidi"/>
          <w:color w:val="000000"/>
          <w:sz w:val="24"/>
          <w:rtl/>
        </w:rPr>
        <w:tab/>
        <w:t>العادات المحلية المتعلقة بالطعام والسلوكيات. 8. ممارسات إنفاذ القانون المحلي.</w:t>
      </w:r>
    </w:p>
    <w:p w14:paraId="2D8387DF" w14:textId="7AA50666" w:rsidR="004564C4" w:rsidRPr="00CF06B8" w:rsidRDefault="00000000" w:rsidP="00CF06B8">
      <w:pPr>
        <w:widowControl w:val="0"/>
        <w:spacing w:after="40" w:line="277" w:lineRule="auto"/>
        <w:ind w:left="720" w:right="540" w:hanging="359"/>
        <w:rPr>
          <w:rFonts w:asciiTheme="minorBidi" w:eastAsia="Arial" w:hAnsiTheme="minorBidi" w:cstheme="minorBidi"/>
          <w:color w:val="000000"/>
          <w:sz w:val="24"/>
          <w:rtl/>
        </w:rPr>
      </w:pPr>
      <w:r w:rsidRPr="00CF06B8">
        <w:rPr>
          <w:rFonts w:asciiTheme="minorBidi" w:hAnsiTheme="minorBidi" w:cstheme="minorBidi"/>
          <w:color w:val="000000"/>
          <w:sz w:val="24"/>
          <w:rtl/>
        </w:rPr>
        <w:t>9.</w:t>
      </w:r>
      <w:r w:rsidRPr="00CF06B8">
        <w:rPr>
          <w:rFonts w:asciiTheme="minorBidi" w:hAnsiTheme="minorBidi" w:cstheme="minorBidi"/>
          <w:color w:val="000000"/>
          <w:sz w:val="24"/>
          <w:rtl/>
        </w:rPr>
        <w:tab/>
        <w:t>السياسة المحلية المتعلقة بالأسلحة.</w:t>
      </w:r>
    </w:p>
    <w:p w14:paraId="2A004776" w14:textId="3E6FFBF9" w:rsidR="004564C4" w:rsidRPr="00CF06B8" w:rsidRDefault="00000000" w:rsidP="00CF06B8">
      <w:pPr>
        <w:widowControl w:val="0"/>
        <w:spacing w:after="40" w:line="277" w:lineRule="auto"/>
        <w:ind w:left="720" w:right="540" w:hanging="359"/>
        <w:rPr>
          <w:rFonts w:asciiTheme="minorBidi" w:eastAsia="Arial" w:hAnsiTheme="minorBidi" w:cstheme="minorBidi"/>
          <w:color w:val="000000"/>
          <w:sz w:val="24"/>
          <w:rtl/>
        </w:rPr>
      </w:pPr>
      <w:r w:rsidRPr="00CF06B8">
        <w:rPr>
          <w:rFonts w:asciiTheme="minorBidi" w:hAnsiTheme="minorBidi" w:cstheme="minorBidi"/>
          <w:color w:val="000000"/>
          <w:sz w:val="24"/>
          <w:rtl/>
        </w:rPr>
        <w:t>10.</w:t>
      </w:r>
      <w:r w:rsidRPr="00CF06B8">
        <w:rPr>
          <w:rFonts w:asciiTheme="minorBidi" w:hAnsiTheme="minorBidi" w:cstheme="minorBidi"/>
          <w:color w:val="000000"/>
          <w:sz w:val="24"/>
          <w:rtl/>
        </w:rPr>
        <w:tab/>
        <w:t>الظروف المعيشية المحلية وعادات القيادة المحلية وأعرافها. 11. السياسة المحلية بشأن استخدام الأدوية المختلفة.</w:t>
      </w:r>
    </w:p>
    <w:p w14:paraId="67C23E59" w14:textId="65A32BF6" w:rsidR="004564C4" w:rsidRPr="00CF06B8" w:rsidRDefault="00000000" w:rsidP="00CF06B8">
      <w:pPr>
        <w:widowControl w:val="0"/>
        <w:spacing w:after="40" w:line="277" w:lineRule="auto"/>
        <w:ind w:left="720" w:right="540" w:hanging="359"/>
        <w:rPr>
          <w:rFonts w:asciiTheme="minorBidi" w:eastAsia="Arial" w:hAnsiTheme="minorBidi" w:cstheme="minorBidi"/>
          <w:color w:val="000000"/>
          <w:sz w:val="24"/>
          <w:rtl/>
        </w:rPr>
      </w:pPr>
      <w:r w:rsidRPr="00CF06B8">
        <w:rPr>
          <w:rFonts w:asciiTheme="minorBidi" w:hAnsiTheme="minorBidi" w:cstheme="minorBidi"/>
          <w:color w:val="000000"/>
          <w:sz w:val="24"/>
          <w:rtl/>
        </w:rPr>
        <w:t>12.</w:t>
      </w:r>
      <w:r w:rsidRPr="00CF06B8">
        <w:rPr>
          <w:rFonts w:asciiTheme="minorBidi" w:hAnsiTheme="minorBidi" w:cstheme="minorBidi"/>
          <w:color w:val="000000"/>
          <w:sz w:val="24"/>
          <w:rtl/>
        </w:rPr>
        <w:tab/>
        <w:t>معاقرة المشروبات الكحولية وتعاطي المخدرات غير المشروعة. 13. التعامل مع المعلومات الحساسة. 14. الاستعانة بكلاب البحث.</w:t>
      </w:r>
    </w:p>
    <w:p w14:paraId="21DEDD49" w14:textId="38604773" w:rsidR="004564C4" w:rsidRPr="00CF06B8" w:rsidRDefault="00000000" w:rsidP="00CF06B8">
      <w:pPr>
        <w:widowControl w:val="0"/>
        <w:spacing w:after="40" w:line="277" w:lineRule="auto"/>
        <w:ind w:left="720" w:right="540" w:hanging="359"/>
        <w:rPr>
          <w:rFonts w:asciiTheme="minorBidi" w:eastAsia="Arial" w:hAnsiTheme="minorBidi" w:cstheme="minorBidi"/>
          <w:color w:val="000000"/>
          <w:sz w:val="24"/>
          <w:rtl/>
        </w:rPr>
      </w:pPr>
      <w:r w:rsidRPr="00CF06B8">
        <w:rPr>
          <w:rFonts w:asciiTheme="minorBidi" w:hAnsiTheme="minorBidi" w:cstheme="minorBidi"/>
          <w:color w:val="000000"/>
          <w:sz w:val="24"/>
          <w:rtl/>
        </w:rPr>
        <w:t>15.</w:t>
      </w:r>
      <w:r w:rsidRPr="00CF06B8">
        <w:rPr>
          <w:rFonts w:asciiTheme="minorBidi" w:hAnsiTheme="minorBidi" w:cstheme="minorBidi"/>
          <w:color w:val="000000"/>
          <w:sz w:val="24"/>
          <w:rtl/>
        </w:rPr>
        <w:tab/>
        <w:t>الاهتمام لأمر المرضى و/أو المتوفين. 16. طريقة اللبس أو معاييره.</w:t>
      </w:r>
    </w:p>
    <w:p w14:paraId="7DDC0425" w14:textId="3C330A95" w:rsidR="004564C4" w:rsidRPr="00CF06B8" w:rsidRDefault="00000000" w:rsidP="00CF06B8">
      <w:pPr>
        <w:widowControl w:val="0"/>
        <w:spacing w:after="40" w:line="277" w:lineRule="auto"/>
        <w:ind w:left="720" w:right="540" w:hanging="359"/>
        <w:rPr>
          <w:rFonts w:asciiTheme="minorBidi" w:eastAsia="Arial" w:hAnsiTheme="minorBidi" w:cstheme="minorBidi"/>
          <w:color w:val="000000"/>
          <w:sz w:val="24"/>
          <w:rtl/>
        </w:rPr>
      </w:pPr>
      <w:r w:rsidRPr="00CF06B8">
        <w:rPr>
          <w:rFonts w:asciiTheme="minorBidi" w:hAnsiTheme="minorBidi" w:cstheme="minorBidi"/>
          <w:color w:val="000000"/>
          <w:sz w:val="24"/>
          <w:rtl/>
        </w:rPr>
        <w:t>17.</w:t>
      </w:r>
      <w:r w:rsidRPr="00CF06B8">
        <w:rPr>
          <w:rFonts w:asciiTheme="minorBidi" w:hAnsiTheme="minorBidi" w:cstheme="minorBidi"/>
          <w:color w:val="000000"/>
          <w:sz w:val="24"/>
          <w:rtl/>
        </w:rPr>
        <w:tab/>
        <w:t>قيود النوع الاجتماعي.</w:t>
      </w:r>
    </w:p>
    <w:p w14:paraId="7C97FC58" w14:textId="15842CA5" w:rsidR="004564C4" w:rsidRPr="00CF06B8" w:rsidRDefault="00000000" w:rsidP="00CF06B8">
      <w:pPr>
        <w:widowControl w:val="0"/>
        <w:spacing w:after="40" w:line="277" w:lineRule="auto"/>
        <w:ind w:left="720" w:right="540" w:hanging="359"/>
        <w:rPr>
          <w:rFonts w:asciiTheme="minorBidi" w:eastAsia="Arial" w:hAnsiTheme="minorBidi" w:cstheme="minorBidi"/>
          <w:color w:val="000000"/>
          <w:sz w:val="24"/>
          <w:rtl/>
        </w:rPr>
      </w:pPr>
      <w:r w:rsidRPr="00CF06B8">
        <w:rPr>
          <w:rFonts w:asciiTheme="minorBidi" w:hAnsiTheme="minorBidi" w:cstheme="minorBidi"/>
          <w:color w:val="000000"/>
          <w:sz w:val="24"/>
          <w:rtl/>
        </w:rPr>
        <w:t>18.</w:t>
      </w:r>
      <w:r w:rsidRPr="00CF06B8">
        <w:rPr>
          <w:rFonts w:asciiTheme="minorBidi" w:hAnsiTheme="minorBidi" w:cstheme="minorBidi"/>
          <w:color w:val="000000"/>
          <w:sz w:val="24"/>
          <w:rtl/>
        </w:rPr>
        <w:tab/>
        <w:t>القيود الترفيهية.</w:t>
      </w:r>
    </w:p>
    <w:p w14:paraId="6DB8B460" w14:textId="5203AC9B" w:rsidR="004564C4" w:rsidRPr="00CF06B8" w:rsidRDefault="00000000" w:rsidP="00CF06B8">
      <w:pPr>
        <w:widowControl w:val="0"/>
        <w:spacing w:after="40" w:line="277" w:lineRule="auto"/>
        <w:ind w:left="720" w:right="540" w:hanging="359"/>
        <w:rPr>
          <w:rFonts w:asciiTheme="minorBidi" w:eastAsia="Arial" w:hAnsiTheme="minorBidi" w:cstheme="minorBidi"/>
          <w:color w:val="000000"/>
          <w:sz w:val="24"/>
          <w:rtl/>
        </w:rPr>
      </w:pPr>
      <w:r w:rsidRPr="00CF06B8">
        <w:rPr>
          <w:rFonts w:asciiTheme="minorBidi" w:hAnsiTheme="minorBidi" w:cstheme="minorBidi"/>
          <w:color w:val="000000"/>
          <w:sz w:val="24"/>
          <w:rtl/>
        </w:rPr>
        <w:t>19.</w:t>
      </w:r>
      <w:r w:rsidRPr="00CF06B8">
        <w:rPr>
          <w:rFonts w:asciiTheme="minorBidi" w:hAnsiTheme="minorBidi" w:cstheme="minorBidi"/>
          <w:color w:val="000000"/>
          <w:sz w:val="24"/>
          <w:rtl/>
        </w:rPr>
        <w:tab/>
        <w:t>قيود التواصل المحلي والاستخدام المقبول. 20. التقاط صور الضحايا أو الهياكل وعرضها. 21. جمع أشياء تذكارية (أجزاء المبنى وما إلى ذلك)</w:t>
      </w:r>
    </w:p>
    <w:p w14:paraId="5D352927" w14:textId="77777777" w:rsidR="00CF06B8" w:rsidRPr="00CF06B8" w:rsidRDefault="00000000" w:rsidP="00CF06B8">
      <w:pPr>
        <w:widowControl w:val="0"/>
        <w:spacing w:after="40" w:line="277" w:lineRule="auto"/>
        <w:ind w:left="720" w:right="540" w:hanging="359"/>
        <w:rPr>
          <w:rFonts w:asciiTheme="minorBidi" w:hAnsiTheme="minorBidi" w:cstheme="minorBidi"/>
          <w:color w:val="000000"/>
          <w:sz w:val="24"/>
        </w:rPr>
      </w:pPr>
      <w:r w:rsidRPr="00CF06B8">
        <w:rPr>
          <w:rFonts w:asciiTheme="minorBidi" w:hAnsiTheme="minorBidi" w:cstheme="minorBidi"/>
          <w:color w:val="000000"/>
          <w:sz w:val="24"/>
          <w:rtl/>
        </w:rPr>
        <w:lastRenderedPageBreak/>
        <w:t>22.</w:t>
      </w:r>
      <w:r w:rsidRPr="00CF06B8">
        <w:rPr>
          <w:rFonts w:asciiTheme="minorBidi" w:hAnsiTheme="minorBidi" w:cstheme="minorBidi"/>
          <w:color w:val="000000"/>
          <w:sz w:val="24"/>
          <w:rtl/>
        </w:rPr>
        <w:tab/>
        <w:t>تخريب الممتلكات كما يحدث عند استخدام نظام تحديد العلامات الهيكلي. 23. الوصول إلى المناطق المحظورة (عسكرية أو دينية، وما إلى ذلك)</w:t>
      </w:r>
      <w:bookmarkStart w:id="1" w:name="_page_11_0"/>
      <w:bookmarkEnd w:id="0"/>
    </w:p>
    <w:p w14:paraId="6DB14E32" w14:textId="10F6874C" w:rsidR="004564C4" w:rsidRPr="00CF06B8" w:rsidRDefault="00000000" w:rsidP="00CF06B8">
      <w:pPr>
        <w:widowControl w:val="0"/>
        <w:spacing w:after="40" w:line="277" w:lineRule="auto"/>
        <w:ind w:left="720" w:right="540" w:hanging="359"/>
        <w:rPr>
          <w:rFonts w:asciiTheme="minorBidi" w:eastAsia="Arial" w:hAnsiTheme="minorBidi" w:cstheme="minorBidi"/>
          <w:color w:val="000000"/>
          <w:sz w:val="24"/>
          <w:rtl/>
        </w:rPr>
      </w:pPr>
      <w:r w:rsidRPr="00CF06B8">
        <w:rPr>
          <w:rFonts w:asciiTheme="minorBidi" w:hAnsiTheme="minorBidi" w:cstheme="minorBidi"/>
          <w:color w:val="000000"/>
          <w:sz w:val="24"/>
          <w:rtl/>
        </w:rPr>
        <w:t>24.</w:t>
      </w:r>
      <w:r w:rsidRPr="00CF06B8">
        <w:rPr>
          <w:rFonts w:asciiTheme="minorBidi" w:hAnsiTheme="minorBidi" w:cstheme="minorBidi"/>
          <w:color w:val="000000"/>
          <w:sz w:val="24"/>
          <w:rtl/>
        </w:rPr>
        <w:tab/>
        <w:t>المعايير الأخلاقية.</w:t>
      </w:r>
    </w:p>
    <w:p w14:paraId="4611D770" w14:textId="38A2EF27" w:rsidR="004564C4" w:rsidRPr="00CF06B8" w:rsidRDefault="00000000" w:rsidP="00CF06B8">
      <w:pPr>
        <w:widowControl w:val="0"/>
        <w:spacing w:after="40" w:line="277" w:lineRule="auto"/>
        <w:ind w:left="720" w:right="540" w:hanging="359"/>
        <w:rPr>
          <w:rFonts w:asciiTheme="minorBidi" w:eastAsia="Arial" w:hAnsiTheme="minorBidi" w:cstheme="minorBidi"/>
          <w:color w:val="000000"/>
          <w:sz w:val="24"/>
          <w:rtl/>
        </w:rPr>
      </w:pPr>
      <w:r w:rsidRPr="00CF06B8">
        <w:rPr>
          <w:rFonts w:asciiTheme="minorBidi" w:hAnsiTheme="minorBidi" w:cstheme="minorBidi"/>
          <w:color w:val="000000"/>
          <w:sz w:val="24"/>
          <w:rtl/>
        </w:rPr>
        <w:t>25.</w:t>
      </w:r>
      <w:r w:rsidRPr="00CF06B8">
        <w:rPr>
          <w:rFonts w:asciiTheme="minorBidi" w:hAnsiTheme="minorBidi" w:cstheme="minorBidi"/>
          <w:color w:val="000000"/>
          <w:sz w:val="24"/>
          <w:rtl/>
        </w:rPr>
        <w:tab/>
        <w:t>مراعاة قدرات وممارسات تشغيل الفرق الأخرى. 26. استخدام المكافآت لتعزيز التعاون.</w:t>
      </w:r>
    </w:p>
    <w:p w14:paraId="3582C685" w14:textId="4ADDECD0" w:rsidR="004564C4" w:rsidRPr="00CF06B8" w:rsidRDefault="00000000" w:rsidP="00CF06B8">
      <w:pPr>
        <w:widowControl w:val="0"/>
        <w:spacing w:after="40" w:line="277" w:lineRule="auto"/>
        <w:ind w:left="720" w:right="540" w:hanging="359"/>
        <w:rPr>
          <w:rFonts w:asciiTheme="minorBidi" w:eastAsia="Arial" w:hAnsiTheme="minorBidi" w:cstheme="minorBidi"/>
          <w:color w:val="000000"/>
          <w:sz w:val="24"/>
          <w:rtl/>
        </w:rPr>
      </w:pPr>
      <w:r w:rsidRPr="00CF06B8">
        <w:rPr>
          <w:rFonts w:asciiTheme="minorBidi" w:hAnsiTheme="minorBidi" w:cstheme="minorBidi"/>
          <w:color w:val="000000"/>
          <w:sz w:val="24"/>
          <w:rtl/>
        </w:rPr>
        <w:t>27.</w:t>
      </w:r>
      <w:r w:rsidRPr="00CF06B8">
        <w:rPr>
          <w:rFonts w:asciiTheme="minorBidi" w:hAnsiTheme="minorBidi" w:cstheme="minorBidi"/>
          <w:color w:val="000000"/>
          <w:sz w:val="24"/>
          <w:rtl/>
        </w:rPr>
        <w:tab/>
        <w:t>المسائل السياسية.</w:t>
      </w:r>
    </w:p>
    <w:p w14:paraId="7506A631" w14:textId="3566A8B2" w:rsidR="004564C4" w:rsidRPr="00CF06B8" w:rsidRDefault="00000000" w:rsidP="00CF06B8">
      <w:pPr>
        <w:widowControl w:val="0"/>
        <w:spacing w:after="40" w:line="277" w:lineRule="auto"/>
        <w:ind w:left="720" w:right="540" w:hanging="359"/>
        <w:rPr>
          <w:rFonts w:asciiTheme="minorBidi" w:eastAsia="Arial" w:hAnsiTheme="minorBidi" w:cstheme="minorBidi"/>
          <w:color w:val="000000"/>
          <w:sz w:val="24"/>
          <w:rtl/>
        </w:rPr>
      </w:pPr>
      <w:r w:rsidRPr="00CF06B8">
        <w:rPr>
          <w:rFonts w:asciiTheme="minorBidi" w:hAnsiTheme="minorBidi" w:cstheme="minorBidi"/>
          <w:color w:val="000000"/>
          <w:sz w:val="24"/>
          <w:rtl/>
        </w:rPr>
        <w:t>28.</w:t>
      </w:r>
      <w:r w:rsidRPr="00CF06B8">
        <w:rPr>
          <w:rFonts w:asciiTheme="minorBidi" w:hAnsiTheme="minorBidi" w:cstheme="minorBidi"/>
          <w:color w:val="000000"/>
          <w:sz w:val="24"/>
          <w:rtl/>
        </w:rPr>
        <w:tab/>
        <w:t>أي تصرفات أو سلوكيات قد تؤزم المواقف العصيبة. 29. التدخين عشوائيًا.</w:t>
      </w:r>
    </w:p>
    <w:p w14:paraId="1B22A9C1" w14:textId="64D6C9FC" w:rsidR="004564C4" w:rsidRPr="00CF06B8" w:rsidRDefault="00000000" w:rsidP="00CF06B8">
      <w:pPr>
        <w:widowControl w:val="0"/>
        <w:spacing w:after="40" w:line="277" w:lineRule="auto"/>
        <w:ind w:left="720" w:right="540" w:hanging="359"/>
        <w:rPr>
          <w:rFonts w:asciiTheme="minorBidi" w:eastAsia="Arial" w:hAnsiTheme="minorBidi" w:cstheme="minorBidi"/>
          <w:color w:val="000000"/>
          <w:sz w:val="24"/>
          <w:rtl/>
        </w:rPr>
      </w:pPr>
      <w:r w:rsidRPr="00CF06B8">
        <w:rPr>
          <w:rFonts w:asciiTheme="minorBidi" w:hAnsiTheme="minorBidi" w:cstheme="minorBidi"/>
          <w:color w:val="000000"/>
          <w:sz w:val="24"/>
          <w:rtl/>
        </w:rPr>
        <w:t>30.</w:t>
      </w:r>
      <w:r w:rsidRPr="00CF06B8">
        <w:rPr>
          <w:rFonts w:asciiTheme="minorBidi" w:hAnsiTheme="minorBidi" w:cstheme="minorBidi"/>
          <w:color w:val="000000"/>
          <w:sz w:val="24"/>
          <w:rtl/>
        </w:rPr>
        <w:tab/>
        <w:t>الاستخدام الأخلاقي لوسائل التواصل الاجتماعي والشبكة على حد سواء.</w:t>
      </w:r>
    </w:p>
    <w:p w14:paraId="1BD6FFA5" w14:textId="77777777" w:rsidR="004564C4" w:rsidRPr="00CF06B8" w:rsidRDefault="004564C4" w:rsidP="00CF06B8">
      <w:pPr>
        <w:spacing w:after="40" w:line="240" w:lineRule="exact"/>
        <w:rPr>
          <w:rFonts w:asciiTheme="minorBidi" w:eastAsia="Arial" w:hAnsiTheme="minorBidi" w:cstheme="minorBidi"/>
          <w:sz w:val="24"/>
        </w:rPr>
      </w:pPr>
    </w:p>
    <w:bookmarkEnd w:id="1"/>
    <w:p w14:paraId="69D11541" w14:textId="488114A8" w:rsidR="004564C4" w:rsidRPr="00CF06B8" w:rsidRDefault="004564C4" w:rsidP="00CF06B8">
      <w:pPr>
        <w:spacing w:after="40" w:line="200" w:lineRule="exact"/>
        <w:rPr>
          <w:rFonts w:asciiTheme="minorBidi" w:eastAsia="Arial" w:hAnsiTheme="minorBidi" w:cstheme="minorBidi"/>
          <w:sz w:val="24"/>
        </w:rPr>
      </w:pPr>
    </w:p>
    <w:sectPr w:rsidR="004564C4" w:rsidRPr="00CF06B8" w:rsidSect="00CF06B8">
      <w:headerReference w:type="default" r:id="rId6"/>
      <w:footerReference w:type="default" r:id="rId7"/>
      <w:pgSz w:w="12240" w:h="15840"/>
      <w:pgMar w:top="1757" w:right="850" w:bottom="0" w:left="1701" w:header="709" w:footer="85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9526F" w14:textId="77777777" w:rsidR="00723A0D" w:rsidRDefault="00723A0D" w:rsidP="00CF06B8">
      <w:pPr>
        <w:spacing w:line="240" w:lineRule="auto"/>
      </w:pPr>
      <w:r>
        <w:separator/>
      </w:r>
    </w:p>
  </w:endnote>
  <w:endnote w:type="continuationSeparator" w:id="0">
    <w:p w14:paraId="41AD83B0" w14:textId="77777777" w:rsidR="00723A0D" w:rsidRDefault="00723A0D" w:rsidP="00CF06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CE996" w14:textId="6A77BDE2" w:rsidR="00CF06B8" w:rsidRPr="00CF06B8" w:rsidRDefault="00CF06B8" w:rsidP="00CF06B8">
    <w:pPr>
      <w:widowControl w:val="0"/>
      <w:spacing w:line="241" w:lineRule="auto"/>
      <w:jc w:val="center"/>
      <w:rPr>
        <w:rFonts w:asciiTheme="minorBidi" w:eastAsia="Arial" w:hAnsiTheme="minorBidi" w:cstheme="minorBidi"/>
        <w:color w:val="006FC0"/>
        <w:sz w:val="16"/>
        <w:szCs w:val="16"/>
        <w:rtl/>
      </w:rPr>
    </w:pPr>
    <w:r w:rsidRPr="00CF06B8">
      <w:rPr>
        <w:rFonts w:asciiTheme="minorBidi" w:hAnsiTheme="minorBidi" w:cstheme="minorBidi"/>
        <w:noProof/>
        <w:rtl/>
      </w:rPr>
      <mc:AlternateContent>
        <mc:Choice Requires="wps">
          <w:drawing>
            <wp:anchor distT="0" distB="0" distL="114300" distR="114300" simplePos="0" relativeHeight="251657728" behindDoc="1" locked="0" layoutInCell="0" allowOverlap="1" wp14:anchorId="2D4619CA" wp14:editId="4D95FB0F">
              <wp:simplePos x="0" y="0"/>
              <wp:positionH relativeFrom="page">
                <wp:posOffset>1235710</wp:posOffset>
              </wp:positionH>
              <wp:positionV relativeFrom="page">
                <wp:posOffset>9008745</wp:posOffset>
              </wp:positionV>
              <wp:extent cx="5996305" cy="12"/>
              <wp:effectExtent l="0" t="0" r="0" b="0"/>
              <wp:wrapNone/>
              <wp:docPr id="1" name="drawingObject1"/>
              <wp:cNvGraphicFramePr/>
              <a:graphic xmlns:a="http://schemas.openxmlformats.org/drawingml/2006/main">
                <a:graphicData uri="http://schemas.microsoft.com/office/word/2010/wordprocessingShape">
                  <wps:wsp>
                    <wps:cNvSpPr/>
                    <wps:spPr>
                      <a:xfrm>
                        <a:off x="0" y="0"/>
                        <a:ext cx="5996305" cy="12"/>
                      </a:xfrm>
                      <a:custGeom>
                        <a:avLst/>
                        <a:gdLst/>
                        <a:ahLst/>
                        <a:cxnLst/>
                        <a:rect l="0" t="0" r="0" b="0"/>
                        <a:pathLst>
                          <a:path w="5996305" h="12">
                            <a:moveTo>
                              <a:pt x="0" y="0"/>
                            </a:moveTo>
                            <a:lnTo>
                              <a:pt x="5996305" y="12"/>
                            </a:lnTo>
                          </a:path>
                        </a:pathLst>
                      </a:custGeom>
                      <a:noFill/>
                      <a:ln w="6350" cap="flat">
                        <a:solidFill>
                          <a:srgbClr val="4471C4"/>
                        </a:solidFill>
                        <a:prstDash val="solid"/>
                      </a:ln>
                    </wps:spPr>
                    <wps:bodyPr vertOverflow="overflow" horzOverflow="overflow" vert="horz" lIns="91440" tIns="45720" rIns="91440" bIns="45720" anchor="t"/>
                  </wps:wsp>
                </a:graphicData>
              </a:graphic>
            </wp:anchor>
          </w:drawing>
        </mc:Choice>
        <mc:Fallback>
          <w:pict>
            <v:shape w14:anchorId="3AF82B3E" id="drawingObject1" o:spid="_x0000_s1026" style="position:absolute;margin-left:97.3pt;margin-top:709.35pt;width:472.15pt;height:0;z-index:-251658752;visibility:visible;mso-wrap-style:square;mso-wrap-distance-left:9pt;mso-wrap-distance-top:0;mso-wrap-distance-right:9pt;mso-wrap-distance-bottom:0;mso-position-horizontal:absolute;mso-position-horizontal-relative:page;mso-position-vertical:absolute;mso-position-vertical-relative:page;v-text-anchor:top" coordsize="599630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" o:allowincell="f" path="m,l5996305,12e" filled="f" strokecolor="#4471c4" strokeweight=".5pt">
              <v:path arrowok="t" textboxrect="0,0,5996305,12"/>
              <w10:wrap anchorx="page" anchory="page"/>
            </v:shape>
          </w:pict>
        </mc:Fallback>
      </mc:AlternateContent>
    </w:r>
    <w:r w:rsidRPr="00CF06B8">
      <w:rPr>
        <w:rFonts w:asciiTheme="minorBidi" w:hAnsiTheme="minorBidi" w:cstheme="minorBidi"/>
        <w:color w:val="000000"/>
        <w:sz w:val="16"/>
        <w:szCs w:val="16"/>
        <w:rtl/>
      </w:rPr>
      <w:t>مكتب الأمم المتحدة لتنسيق الشؤون الإنسانية (</w:t>
    </w:r>
    <w:proofErr w:type="spellStart"/>
    <w:r w:rsidRPr="00CF06B8">
      <w:rPr>
        <w:rFonts w:asciiTheme="minorBidi" w:hAnsiTheme="minorBidi" w:cstheme="minorBidi"/>
        <w:color w:val="000000"/>
        <w:sz w:val="16"/>
        <w:szCs w:val="16"/>
        <w:rtl/>
      </w:rPr>
      <w:t>أوتشا</w:t>
    </w:r>
    <w:proofErr w:type="spellEnd"/>
    <w:r w:rsidRPr="00CF06B8">
      <w:rPr>
        <w:rFonts w:asciiTheme="minorBidi" w:hAnsiTheme="minorBidi" w:cstheme="minorBidi"/>
        <w:color w:val="000000"/>
        <w:sz w:val="16"/>
        <w:szCs w:val="16"/>
        <w:rtl/>
      </w:rPr>
      <w:t xml:space="preserve">) </w:t>
    </w:r>
    <w:r>
      <w:rPr>
        <w:rFonts w:asciiTheme="minorBidi" w:hAnsiTheme="minorBidi" w:cstheme="minorBidi"/>
        <w:color w:val="000000"/>
        <w:sz w:val="16"/>
        <w:szCs w:val="16"/>
      </w:rPr>
      <w:br/>
    </w:r>
    <w:r w:rsidRPr="00CF06B8">
      <w:rPr>
        <w:rFonts w:asciiTheme="minorBidi" w:hAnsiTheme="minorBidi" w:cstheme="minorBidi"/>
        <w:color w:val="000000"/>
        <w:sz w:val="16"/>
        <w:szCs w:val="16"/>
      </w:rPr>
      <w:t>www.unocha.org</w:t>
    </w:r>
  </w:p>
  <w:p w14:paraId="078597BE" w14:textId="15334200" w:rsidR="00CF06B8" w:rsidRDefault="00CF06B8" w:rsidP="00CF06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3A029" w14:textId="77777777" w:rsidR="00723A0D" w:rsidRDefault="00723A0D" w:rsidP="00CF06B8">
      <w:pPr>
        <w:spacing w:line="240" w:lineRule="auto"/>
      </w:pPr>
      <w:r>
        <w:separator/>
      </w:r>
    </w:p>
  </w:footnote>
  <w:footnote w:type="continuationSeparator" w:id="0">
    <w:p w14:paraId="76174EA5" w14:textId="77777777" w:rsidR="00723A0D" w:rsidRDefault="00723A0D" w:rsidP="00CF06B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1775428433"/>
      <w:docPartObj>
        <w:docPartGallery w:val="Page Numbers (Top of Page)"/>
        <w:docPartUnique/>
      </w:docPartObj>
    </w:sdtPr>
    <w:sdtEndPr>
      <w:rPr>
        <w:noProof/>
      </w:rPr>
    </w:sdtEndPr>
    <w:sdtContent>
      <w:p w14:paraId="3EBD02E0" w14:textId="59C3D4F2" w:rsidR="00CF06B8" w:rsidRDefault="00CF06B8">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43837A3B" w14:textId="48CD1D1B" w:rsidR="00CF06B8" w:rsidRDefault="00CF06B8">
    <w:pPr>
      <w:pStyle w:val="Header"/>
    </w:pPr>
    <w:r w:rsidRPr="00CF06B8">
      <w:rPr>
        <w:rFonts w:asciiTheme="minorBidi" w:hAnsiTheme="minorBidi" w:cstheme="minorBidi"/>
        <w:noProof/>
        <w:rtl/>
      </w:rPr>
      <mc:AlternateContent>
        <mc:Choice Requires="wps">
          <w:drawing>
            <wp:anchor distT="0" distB="0" distL="114300" distR="114300" simplePos="0" relativeHeight="251662848" behindDoc="1" locked="0" layoutInCell="0" allowOverlap="1" wp14:anchorId="231028BA" wp14:editId="71EC26D9">
              <wp:simplePos x="0" y="0"/>
              <wp:positionH relativeFrom="page">
                <wp:posOffset>1020445</wp:posOffset>
              </wp:positionH>
              <wp:positionV relativeFrom="page">
                <wp:posOffset>716280</wp:posOffset>
              </wp:positionV>
              <wp:extent cx="5894705" cy="25400"/>
              <wp:effectExtent l="0" t="0" r="0" b="0"/>
              <wp:wrapNone/>
              <wp:docPr id="4" name="drawingObject4"/>
              <wp:cNvGraphicFramePr/>
              <a:graphic xmlns:a="http://schemas.openxmlformats.org/drawingml/2006/main">
                <a:graphicData uri="http://schemas.microsoft.com/office/word/2010/wordprocessingShape">
                  <wps:wsp>
                    <wps:cNvSpPr/>
                    <wps:spPr>
                      <a:xfrm>
                        <a:off x="0" y="0"/>
                        <a:ext cx="5894705" cy="25400"/>
                      </a:xfrm>
                      <a:custGeom>
                        <a:avLst/>
                        <a:gdLst/>
                        <a:ahLst/>
                        <a:cxnLst/>
                        <a:rect l="0" t="0" r="0" b="0"/>
                        <a:pathLst>
                          <a:path w="5894705" h="25400">
                            <a:moveTo>
                              <a:pt x="0" y="25400"/>
                            </a:moveTo>
                            <a:lnTo>
                              <a:pt x="5894705" y="0"/>
                            </a:lnTo>
                          </a:path>
                        </a:pathLst>
                      </a:custGeom>
                      <a:noFill/>
                      <a:ln w="6350" cap="flat">
                        <a:solidFill>
                          <a:srgbClr val="4471C4"/>
                        </a:solidFill>
                        <a:prstDash val="solid"/>
                      </a:ln>
                    </wps:spPr>
                    <wps:bodyPr vertOverflow="overflow" horzOverflow="overflow" vert="horz" lIns="91440" tIns="45720" rIns="91440" bIns="45720" anchor="t"/>
                  </wps:wsp>
                </a:graphicData>
              </a:graphic>
            </wp:anchor>
          </w:drawing>
        </mc:Choice>
        <mc:Fallback>
          <w:pict>
            <v:shape w14:anchorId="29FC2A22" id="drawingObject4" o:spid="_x0000_s1026" style="position:absolute;margin-left:80.35pt;margin-top:56.4pt;width:464.15pt;height:2pt;z-index:-251653632;visibility:visible;mso-wrap-style:square;mso-wrap-distance-left:9pt;mso-wrap-distance-top:0;mso-wrap-distance-right:9pt;mso-wrap-distance-bottom:0;mso-position-horizontal:absolute;mso-position-horizontal-relative:page;mso-position-vertical:absolute;mso-position-vertical-relative:page;v-text-anchor:top" coordsize="589470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" o:allowincell="f" path="m,25400l5894705,e" filled="f" strokecolor="#4471c4" strokeweight=".5pt">
              <v:path arrowok="t" textboxrect="0,0,5894705,25400"/>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4564C4"/>
    <w:rsid w:val="0003695B"/>
    <w:rsid w:val="004564C4"/>
    <w:rsid w:val="00463CFD"/>
    <w:rsid w:val="00723A0D"/>
    <w:rsid w:val="00CF06B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25959C"/>
  <w15:docId w15:val="{7CE24BD9-6927-432E-BE08-D3184D73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EG"/>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6B8"/>
    <w:pPr>
      <w:bidi/>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F06B8"/>
    <w:pPr>
      <w:tabs>
        <w:tab w:val="center" w:pos="4513"/>
        <w:tab w:val="right" w:pos="9026"/>
      </w:tabs>
      <w:spacing w:line="240" w:lineRule="auto"/>
    </w:pPr>
  </w:style>
  <w:style w:type="character" w:customStyle="1" w:styleId="HeaderChar">
    <w:name w:val="Header Char"/>
    <w:basedOn w:val="DefaultParagraphFont"/>
    <w:link w:val="Header"/>
    <w:uiPriority w:val="99"/>
    <w:rsid w:val="00CF06B8"/>
    <w:rPr>
      <w:szCs w:val="24"/>
    </w:rPr>
  </w:style>
  <w:style w:type="paragraph" w:styleId="Footer">
    <w:name w:val="footer"/>
    <w:basedOn w:val="Normal"/>
    <w:link w:val="FooterChar"/>
    <w:uiPriority w:val="99"/>
    <w:unhideWhenUsed/>
    <w:rsid w:val="00CF06B8"/>
    <w:pPr>
      <w:tabs>
        <w:tab w:val="center" w:pos="4513"/>
        <w:tab w:val="right" w:pos="9026"/>
      </w:tabs>
      <w:spacing w:line="240" w:lineRule="auto"/>
    </w:pPr>
  </w:style>
  <w:style w:type="character" w:customStyle="1" w:styleId="FooterChar">
    <w:name w:val="Footer Char"/>
    <w:basedOn w:val="DefaultParagraphFont"/>
    <w:link w:val="Footer"/>
    <w:uiPriority w:val="99"/>
    <w:rsid w:val="00CF06B8"/>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454</Words>
  <Characters>2590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Ashraf Khedr</cp:lastModifiedBy>
  <cp:revision>3</cp:revision>
  <dcterms:created xsi:type="dcterms:W3CDTF">2023-01-12T08:26:00Z</dcterms:created>
  <dcterms:modified xsi:type="dcterms:W3CDTF">2023-02-27T10:40:00Z</dcterms:modified>
</cp:coreProperties>
</file>