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1DC27" w14:textId="3AE41794" w:rsidR="00D970BB" w:rsidRPr="00683413" w:rsidRDefault="00D970BB" w:rsidP="00D970BB">
      <w:pPr>
        <w:pStyle w:val="Heading2"/>
        <w:spacing w:before="0"/>
        <w:ind w:firstLine="0"/>
        <w:rPr>
          <w:bCs/>
          <w:rtl/>
        </w:rPr>
      </w:pPr>
      <w:r w:rsidRPr="00683413">
        <w:rPr>
          <w:bCs/>
          <w:rtl/>
        </w:rPr>
        <w:t>الملحق (ب)5: القائمة المرجعية لإنشاء مركز الاستقبال/ المغادرة</w:t>
      </w:r>
    </w:p>
    <w:tbl>
      <w:tblPr>
        <w:tblStyle w:val="TableGrid"/>
        <w:bidiVisual/>
        <w:tblW w:w="0" w:type="auto"/>
        <w:tblLook w:val="04A0" w:firstRow="1" w:lastRow="0" w:firstColumn="1" w:lastColumn="0" w:noHBand="0" w:noVBand="1"/>
      </w:tblPr>
      <w:tblGrid>
        <w:gridCol w:w="9350"/>
      </w:tblGrid>
      <w:tr w:rsidR="00A470B9" w:rsidRPr="00683413" w14:paraId="0D161458" w14:textId="77777777" w:rsidTr="003B0E57">
        <w:tc>
          <w:tcPr>
            <w:tcW w:w="9576" w:type="dxa"/>
            <w:shd w:val="clear" w:color="auto" w:fill="0070C0"/>
          </w:tcPr>
          <w:p w14:paraId="49CE5EC2" w14:textId="77777777" w:rsidR="00A470B9" w:rsidRPr="00683413" w:rsidRDefault="00A470B9" w:rsidP="003B0E57">
            <w:pPr>
              <w:spacing w:after="120"/>
              <w:jc w:val="center"/>
              <w:rPr>
                <w:rFonts w:eastAsia="Times New Roman"/>
                <w:b/>
                <w:bCs/>
                <w:color w:val="FFFFFF" w:themeColor="background1"/>
                <w:szCs w:val="20"/>
                <w:rtl/>
              </w:rPr>
            </w:pPr>
            <w:r w:rsidRPr="00683413">
              <w:rPr>
                <w:b/>
                <w:bCs/>
                <w:color w:val="FFFFFF" w:themeColor="background1"/>
                <w:rtl/>
              </w:rPr>
              <w:t>القائمة المرجعية لإنشاء مركز الاستقبال/ المغادرة</w:t>
            </w:r>
          </w:p>
        </w:tc>
      </w:tr>
      <w:tr w:rsidR="00A470B9" w:rsidRPr="00683413" w14:paraId="4A42B2BB" w14:textId="77777777" w:rsidTr="003B0E57">
        <w:tc>
          <w:tcPr>
            <w:tcW w:w="9576" w:type="dxa"/>
            <w:shd w:val="clear" w:color="auto" w:fill="F2F2F2" w:themeFill="background1" w:themeFillShade="F2"/>
          </w:tcPr>
          <w:p w14:paraId="23172712" w14:textId="77777777" w:rsidR="00A470B9" w:rsidRPr="00683413" w:rsidRDefault="00A470B9" w:rsidP="003B0E57">
            <w:pPr>
              <w:spacing w:after="120"/>
              <w:rPr>
                <w:szCs w:val="20"/>
                <w:rtl/>
              </w:rPr>
            </w:pPr>
            <w:r w:rsidRPr="00683413">
              <w:rPr>
                <w:rtl/>
              </w:rPr>
              <w:t>تحديد سلطات المطار أو ما يعادلها وتحديد جهات التنسيق لمراقبة الحركة الجوية والبرية والإدارة واللوجستيات والجمارك والهجرة والأمن ومرافق تخزين المساعدات الإنسانية، وعند الضرورة التنسيق مع الجهات العسكرية.</w:t>
            </w:r>
          </w:p>
        </w:tc>
      </w:tr>
      <w:tr w:rsidR="00A470B9" w:rsidRPr="00683413" w14:paraId="66EA7FD0" w14:textId="77777777" w:rsidTr="003B0E57">
        <w:tc>
          <w:tcPr>
            <w:tcW w:w="9576" w:type="dxa"/>
            <w:shd w:val="clear" w:color="auto" w:fill="F2F2F2" w:themeFill="background1" w:themeFillShade="F2"/>
          </w:tcPr>
          <w:p w14:paraId="7BCF9DED" w14:textId="77777777" w:rsidR="00A470B9" w:rsidRPr="00683413" w:rsidRDefault="00A470B9" w:rsidP="003B0E57">
            <w:pPr>
              <w:spacing w:after="120"/>
              <w:rPr>
                <w:szCs w:val="20"/>
                <w:rtl/>
              </w:rPr>
            </w:pPr>
            <w:r w:rsidRPr="00683413">
              <w:rPr>
                <w:rtl/>
              </w:rPr>
              <w:t>الترتيب لتصاريح المطار الرسمية، ولا سيما إذا دعت الحاجة إلى الوجود بجانب منطقة الحركة الجوية في المطار.</w:t>
            </w:r>
          </w:p>
        </w:tc>
      </w:tr>
      <w:tr w:rsidR="00A470B9" w:rsidRPr="00683413" w14:paraId="3242C2E2" w14:textId="77777777" w:rsidTr="003B0E57">
        <w:tc>
          <w:tcPr>
            <w:tcW w:w="9576" w:type="dxa"/>
            <w:shd w:val="clear" w:color="auto" w:fill="F2F2F2" w:themeFill="background1" w:themeFillShade="F2"/>
          </w:tcPr>
          <w:p w14:paraId="4D362BFF" w14:textId="77777777" w:rsidR="00A470B9" w:rsidRPr="00683413" w:rsidRDefault="00A470B9" w:rsidP="003B0E57">
            <w:pPr>
              <w:spacing w:after="120"/>
              <w:rPr>
                <w:szCs w:val="20"/>
                <w:rtl/>
              </w:rPr>
            </w:pPr>
            <w:r w:rsidRPr="00683413">
              <w:rPr>
                <w:rtl/>
              </w:rPr>
              <w:t>إحاطة سلطات المطار مع الشركاء حول غرض مركز الاستقبال/ المغادرة ومركز تنسيق العمليات في الموقع وكيف يدعم وصول الجهات الفاعلة الدولية وعناصر الإغاثة.</w:t>
            </w:r>
          </w:p>
        </w:tc>
      </w:tr>
      <w:tr w:rsidR="00A470B9" w:rsidRPr="00683413" w14:paraId="67008758" w14:textId="77777777" w:rsidTr="003B0E57">
        <w:tc>
          <w:tcPr>
            <w:tcW w:w="9576" w:type="dxa"/>
            <w:shd w:val="clear" w:color="auto" w:fill="F2F2F2" w:themeFill="background1" w:themeFillShade="F2"/>
          </w:tcPr>
          <w:p w14:paraId="463B2B7F" w14:textId="77777777" w:rsidR="00A470B9" w:rsidRPr="00683413" w:rsidRDefault="00A470B9" w:rsidP="003B0E57">
            <w:pPr>
              <w:spacing w:after="120"/>
              <w:rPr>
                <w:szCs w:val="20"/>
                <w:rtl/>
              </w:rPr>
            </w:pPr>
            <w:r w:rsidRPr="00683413">
              <w:rPr>
                <w:rtl/>
              </w:rPr>
              <w:t>التفاوض على مكان لمركز الاستقبال/ المغادرة يتسم بكونه مرئيًا ويسهل الوصول إليه مع عدم تعارضه مع حركة العامة.</w:t>
            </w:r>
          </w:p>
        </w:tc>
      </w:tr>
      <w:tr w:rsidR="00A470B9" w:rsidRPr="00683413" w14:paraId="4E598BDE" w14:textId="77777777" w:rsidTr="003B0E57">
        <w:tc>
          <w:tcPr>
            <w:tcW w:w="9576" w:type="dxa"/>
            <w:shd w:val="clear" w:color="auto" w:fill="F2F2F2" w:themeFill="background1" w:themeFillShade="F2"/>
          </w:tcPr>
          <w:p w14:paraId="1A551D81" w14:textId="77777777" w:rsidR="00A470B9" w:rsidRPr="00683413" w:rsidRDefault="00A470B9" w:rsidP="003B0E57">
            <w:pPr>
              <w:spacing w:after="120"/>
              <w:rPr>
                <w:szCs w:val="20"/>
                <w:rtl/>
              </w:rPr>
            </w:pPr>
            <w:r w:rsidRPr="00683413">
              <w:rPr>
                <w:rtl/>
              </w:rPr>
              <w:t>إنشاء مركز الاستقبال/ المغادرة يحتوي على وصلات اتصال ومعدات تكنولوجيا المعلومات والاتصالات.</w:t>
            </w:r>
          </w:p>
        </w:tc>
      </w:tr>
      <w:tr w:rsidR="00A470B9" w:rsidRPr="00683413" w14:paraId="2B49B32A" w14:textId="77777777" w:rsidTr="003B0E57">
        <w:tc>
          <w:tcPr>
            <w:tcW w:w="9576" w:type="dxa"/>
            <w:shd w:val="clear" w:color="auto" w:fill="F2F2F2" w:themeFill="background1" w:themeFillShade="F2"/>
          </w:tcPr>
          <w:p w14:paraId="5C57B1B7" w14:textId="77777777" w:rsidR="00A470B9" w:rsidRPr="00683413" w:rsidRDefault="00A470B9" w:rsidP="003B0E57">
            <w:pPr>
              <w:spacing w:after="120"/>
              <w:rPr>
                <w:szCs w:val="20"/>
                <w:rtl/>
              </w:rPr>
            </w:pPr>
            <w:r w:rsidRPr="00683413">
              <w:rPr>
                <w:rtl/>
              </w:rPr>
              <w:t>إنشاء مكتب استقبال واحد أو أكثر يمكن رؤيته والوصول إليه بسهولة.</w:t>
            </w:r>
          </w:p>
        </w:tc>
      </w:tr>
      <w:tr w:rsidR="00A470B9" w:rsidRPr="00683413" w14:paraId="1E2AA329" w14:textId="77777777" w:rsidTr="003B0E57">
        <w:tc>
          <w:tcPr>
            <w:tcW w:w="9576" w:type="dxa"/>
            <w:shd w:val="clear" w:color="auto" w:fill="F2F2F2" w:themeFill="background1" w:themeFillShade="F2"/>
          </w:tcPr>
          <w:p w14:paraId="456B2B7F" w14:textId="77777777" w:rsidR="00A470B9" w:rsidRPr="00683413" w:rsidRDefault="00A470B9" w:rsidP="00A470B9">
            <w:pPr>
              <w:pStyle w:val="NoSpacing"/>
              <w:numPr>
                <w:ilvl w:val="0"/>
                <w:numId w:val="12"/>
              </w:numPr>
              <w:bidi/>
              <w:spacing w:after="120" w:line="276" w:lineRule="auto"/>
              <w:ind w:left="0"/>
              <w:rPr>
                <w:rFonts w:ascii="Arial" w:hAnsi="Arial" w:cs="Arial"/>
                <w:color w:val="404040"/>
                <w:sz w:val="20"/>
                <w:szCs w:val="20"/>
                <w:rtl/>
              </w:rPr>
            </w:pPr>
            <w:r w:rsidRPr="00683413">
              <w:rPr>
                <w:rFonts w:ascii="Arial" w:hAnsi="Arial" w:cs="Arial"/>
                <w:sz w:val="20"/>
                <w:szCs w:val="20"/>
                <w:rtl/>
              </w:rPr>
              <w:t>الإعداد لإدارة الحشود، بما في ذلك:</w:t>
            </w:r>
          </w:p>
          <w:p w14:paraId="3B708DCA" w14:textId="77777777" w:rsidR="00A470B9" w:rsidRPr="00683413" w:rsidRDefault="00A470B9" w:rsidP="00A470B9">
            <w:pPr>
              <w:pStyle w:val="OCHAbullet"/>
              <w:spacing w:after="0" w:line="240" w:lineRule="auto"/>
              <w:rPr>
                <w:color w:val="404040"/>
                <w:rtl/>
              </w:rPr>
            </w:pPr>
            <w:r w:rsidRPr="00683413">
              <w:rPr>
                <w:rtl/>
              </w:rPr>
              <w:t>وضع لافتات تؤدي إلى مركز الاستقبال/ المغادرة في جميع أنحاء المطار.</w:t>
            </w:r>
          </w:p>
          <w:p w14:paraId="67FC5260" w14:textId="77777777" w:rsidR="00A470B9" w:rsidRPr="00683413" w:rsidRDefault="00A470B9" w:rsidP="00A470B9">
            <w:pPr>
              <w:pStyle w:val="OCHAbullet"/>
              <w:spacing w:after="0" w:line="360" w:lineRule="auto"/>
              <w:rPr>
                <w:color w:val="404040"/>
                <w:rtl/>
              </w:rPr>
            </w:pPr>
            <w:r w:rsidRPr="00683413">
              <w:rPr>
                <w:rtl/>
              </w:rPr>
              <w:t>إشارة واضحة للعيان (أعلام مركز الاستقبال/ المغادرة) في مكاتب الاستقبال ومركز الاستقبال/ المغادرة.</w:t>
            </w:r>
          </w:p>
          <w:p w14:paraId="55F11E77" w14:textId="77777777" w:rsidR="00A470B9" w:rsidRPr="00683413" w:rsidRDefault="00A470B9" w:rsidP="003B0E57">
            <w:pPr>
              <w:spacing w:after="120"/>
              <w:rPr>
                <w:szCs w:val="20"/>
                <w:rtl/>
              </w:rPr>
            </w:pPr>
            <w:r w:rsidRPr="00683413">
              <w:rPr>
                <w:rtl/>
              </w:rPr>
              <w:t>ترتيبات الاستدعاء مع سلطات المطار.</w:t>
            </w:r>
          </w:p>
        </w:tc>
      </w:tr>
      <w:tr w:rsidR="00A470B9" w:rsidRPr="00683413" w14:paraId="0375A575" w14:textId="77777777" w:rsidTr="003B0E57">
        <w:tc>
          <w:tcPr>
            <w:tcW w:w="9576" w:type="dxa"/>
            <w:shd w:val="clear" w:color="auto" w:fill="F2F2F2" w:themeFill="background1" w:themeFillShade="F2"/>
          </w:tcPr>
          <w:p w14:paraId="64C20CE5" w14:textId="77777777" w:rsidR="00A470B9" w:rsidRPr="00683413" w:rsidRDefault="00A470B9" w:rsidP="003B0E57">
            <w:pPr>
              <w:spacing w:after="120"/>
              <w:rPr>
                <w:szCs w:val="20"/>
                <w:rtl/>
              </w:rPr>
            </w:pPr>
            <w:r w:rsidRPr="00683413">
              <w:rPr>
                <w:rtl/>
              </w:rPr>
              <w:t>إعداد منطقة الانتظار للفرق الوافدة بما في ذلك منطقة لكلاب البحث.</w:t>
            </w:r>
          </w:p>
        </w:tc>
      </w:tr>
      <w:tr w:rsidR="00A470B9" w:rsidRPr="00683413" w14:paraId="1C7069C4" w14:textId="77777777" w:rsidTr="003B0E57">
        <w:tc>
          <w:tcPr>
            <w:tcW w:w="9576" w:type="dxa"/>
            <w:shd w:val="clear" w:color="auto" w:fill="F2F2F2" w:themeFill="background1" w:themeFillShade="F2"/>
          </w:tcPr>
          <w:p w14:paraId="53591B12" w14:textId="77777777" w:rsidR="00A470B9" w:rsidRPr="00683413" w:rsidRDefault="00A470B9" w:rsidP="003B0E57">
            <w:pPr>
              <w:spacing w:after="120"/>
              <w:rPr>
                <w:szCs w:val="20"/>
                <w:rtl/>
              </w:rPr>
            </w:pPr>
            <w:r w:rsidRPr="00683413">
              <w:rPr>
                <w:rtl/>
              </w:rPr>
              <w:t>ترتيبات الجمارك، والهجرة والدعم الإداري للفرق الوافدة.</w:t>
            </w:r>
          </w:p>
        </w:tc>
      </w:tr>
      <w:tr w:rsidR="00A470B9" w:rsidRPr="00683413" w14:paraId="64B1540A" w14:textId="77777777" w:rsidTr="003B0E57">
        <w:tc>
          <w:tcPr>
            <w:tcW w:w="9576" w:type="dxa"/>
            <w:shd w:val="clear" w:color="auto" w:fill="F2F2F2" w:themeFill="background1" w:themeFillShade="F2"/>
          </w:tcPr>
          <w:p w14:paraId="1F965115" w14:textId="77777777" w:rsidR="00A470B9" w:rsidRPr="00683413" w:rsidRDefault="00A470B9" w:rsidP="003B0E57">
            <w:pPr>
              <w:spacing w:after="120"/>
              <w:rPr>
                <w:szCs w:val="20"/>
                <w:rtl/>
              </w:rPr>
            </w:pPr>
            <w:r w:rsidRPr="00683413">
              <w:rPr>
                <w:rtl/>
              </w:rPr>
              <w:t>ترتيبات نقل الفرق إلى موقع الكارثة.</w:t>
            </w:r>
          </w:p>
        </w:tc>
      </w:tr>
      <w:tr w:rsidR="00A470B9" w:rsidRPr="00683413" w14:paraId="3A1476BD" w14:textId="77777777" w:rsidTr="003B0E57">
        <w:tc>
          <w:tcPr>
            <w:tcW w:w="9576" w:type="dxa"/>
            <w:shd w:val="clear" w:color="auto" w:fill="F2F2F2" w:themeFill="background1" w:themeFillShade="F2"/>
          </w:tcPr>
          <w:p w14:paraId="01F1F36E" w14:textId="77777777" w:rsidR="00A470B9" w:rsidRPr="00683413" w:rsidRDefault="00A470B9" w:rsidP="003B0E57">
            <w:pPr>
              <w:spacing w:after="120"/>
              <w:rPr>
                <w:szCs w:val="20"/>
                <w:rtl/>
              </w:rPr>
            </w:pPr>
            <w:r w:rsidRPr="00683413">
              <w:rPr>
                <w:rtl/>
              </w:rPr>
              <w:t>إعداد نشرات إحاطة حول غرضهم وبيانات جهات الاتصال وآخر تحديث للوضع.</w:t>
            </w:r>
          </w:p>
        </w:tc>
      </w:tr>
      <w:tr w:rsidR="00A470B9" w:rsidRPr="00683413" w14:paraId="51FFF960" w14:textId="77777777" w:rsidTr="003B0E57">
        <w:tc>
          <w:tcPr>
            <w:tcW w:w="9576" w:type="dxa"/>
            <w:shd w:val="clear" w:color="auto" w:fill="F2F2F2" w:themeFill="background1" w:themeFillShade="F2"/>
          </w:tcPr>
          <w:p w14:paraId="3E1BF7D8" w14:textId="77777777" w:rsidR="00A470B9" w:rsidRPr="00683413" w:rsidRDefault="00A470B9" w:rsidP="003B0E57">
            <w:pPr>
              <w:spacing w:after="120"/>
              <w:rPr>
                <w:szCs w:val="20"/>
                <w:rtl/>
              </w:rPr>
            </w:pPr>
            <w:r w:rsidRPr="00683413">
              <w:rPr>
                <w:rtl/>
              </w:rPr>
              <w:t>توزيع الخرائط، إن وجدت.</w:t>
            </w:r>
          </w:p>
        </w:tc>
      </w:tr>
      <w:tr w:rsidR="00A470B9" w:rsidRPr="00683413" w14:paraId="25A46A0C" w14:textId="77777777" w:rsidTr="003B0E57">
        <w:tc>
          <w:tcPr>
            <w:tcW w:w="9576" w:type="dxa"/>
            <w:shd w:val="clear" w:color="auto" w:fill="F2F2F2" w:themeFill="background1" w:themeFillShade="F2"/>
          </w:tcPr>
          <w:p w14:paraId="640EC4E5" w14:textId="77777777" w:rsidR="00A470B9" w:rsidRPr="00683413" w:rsidRDefault="00A470B9" w:rsidP="003B0E57">
            <w:pPr>
              <w:spacing w:after="120"/>
              <w:rPr>
                <w:szCs w:val="20"/>
                <w:rtl/>
              </w:rPr>
            </w:pPr>
            <w:r w:rsidRPr="00683413">
              <w:rPr>
                <w:rtl/>
              </w:rPr>
              <w:t>إعداد استبيانات التسجيل للفرق الوافدة.</w:t>
            </w:r>
          </w:p>
        </w:tc>
      </w:tr>
      <w:tr w:rsidR="00A470B9" w:rsidRPr="00683413" w14:paraId="1F72E016" w14:textId="77777777" w:rsidTr="003B0E57">
        <w:tc>
          <w:tcPr>
            <w:tcW w:w="9576" w:type="dxa"/>
            <w:shd w:val="clear" w:color="auto" w:fill="F2F2F2" w:themeFill="background1" w:themeFillShade="F2"/>
          </w:tcPr>
          <w:p w14:paraId="2F851492" w14:textId="77777777" w:rsidR="00A470B9" w:rsidRPr="00683413" w:rsidRDefault="00A470B9" w:rsidP="003B0E57">
            <w:pPr>
              <w:spacing w:after="120"/>
              <w:rPr>
                <w:szCs w:val="20"/>
                <w:rtl/>
              </w:rPr>
            </w:pPr>
            <w:r w:rsidRPr="00683413">
              <w:rPr>
                <w:rtl/>
              </w:rPr>
              <w:t>إعداد الإحاطة للفرق الوافدة.</w:t>
            </w:r>
          </w:p>
        </w:tc>
      </w:tr>
      <w:tr w:rsidR="00A470B9" w:rsidRPr="00683413" w14:paraId="711DC778" w14:textId="77777777" w:rsidTr="003B0E57">
        <w:tc>
          <w:tcPr>
            <w:tcW w:w="9576" w:type="dxa"/>
            <w:shd w:val="clear" w:color="auto" w:fill="F2F2F2" w:themeFill="background1" w:themeFillShade="F2"/>
          </w:tcPr>
          <w:p w14:paraId="150B6491" w14:textId="77777777" w:rsidR="00A470B9" w:rsidRPr="00683413" w:rsidRDefault="00A470B9" w:rsidP="003B0E57">
            <w:pPr>
              <w:spacing w:after="120"/>
              <w:rPr>
                <w:szCs w:val="20"/>
                <w:rtl/>
              </w:rPr>
            </w:pPr>
            <w:r w:rsidRPr="00683413">
              <w:rPr>
                <w:rtl/>
              </w:rPr>
              <w:t>الإعداد لدعم الفرق المغادرة، بما في ذلك الإقامة واللوجستيات وحجز الطيران.</w:t>
            </w:r>
          </w:p>
        </w:tc>
      </w:tr>
      <w:tr w:rsidR="00A470B9" w:rsidRPr="00683413" w14:paraId="522926CE" w14:textId="77777777" w:rsidTr="003B0E57">
        <w:tc>
          <w:tcPr>
            <w:tcW w:w="9576" w:type="dxa"/>
            <w:shd w:val="clear" w:color="auto" w:fill="F2F2F2" w:themeFill="background1" w:themeFillShade="F2"/>
          </w:tcPr>
          <w:p w14:paraId="1E7A3AA9" w14:textId="77777777" w:rsidR="00A470B9" w:rsidRPr="00683413" w:rsidRDefault="00A470B9" w:rsidP="003B0E57">
            <w:pPr>
              <w:spacing w:after="120"/>
              <w:rPr>
                <w:szCs w:val="20"/>
                <w:rtl/>
              </w:rPr>
            </w:pPr>
            <w:r w:rsidRPr="00683413">
              <w:rPr>
                <w:rtl/>
              </w:rPr>
              <w:t>إعداد الاستبيانات للفرق المغادرة.</w:t>
            </w:r>
          </w:p>
        </w:tc>
      </w:tr>
      <w:tr w:rsidR="00A470B9" w:rsidRPr="00683413" w14:paraId="37FFA6A1" w14:textId="77777777" w:rsidTr="003B0E57">
        <w:tc>
          <w:tcPr>
            <w:tcW w:w="9576" w:type="dxa"/>
            <w:shd w:val="clear" w:color="auto" w:fill="F2F2F2" w:themeFill="background1" w:themeFillShade="F2"/>
          </w:tcPr>
          <w:p w14:paraId="0FC29CA2" w14:textId="77777777" w:rsidR="00A470B9" w:rsidRPr="00683413" w:rsidRDefault="00A470B9" w:rsidP="003B0E57">
            <w:pPr>
              <w:spacing w:after="120"/>
              <w:rPr>
                <w:szCs w:val="20"/>
                <w:rtl/>
              </w:rPr>
            </w:pPr>
            <w:r w:rsidRPr="00683413">
              <w:rPr>
                <w:rtl/>
              </w:rPr>
              <w:t>تطوير استراتيجية خروج، بما في ذلك تحديد الإجراءات التي يجب الحفاظ عليها والكيانات التي يجب أن يُسلموا إليها.</w:t>
            </w:r>
          </w:p>
        </w:tc>
      </w:tr>
      <w:tr w:rsidR="00A470B9" w:rsidRPr="00683413" w14:paraId="011FD065" w14:textId="77777777" w:rsidTr="003B0E57">
        <w:tc>
          <w:tcPr>
            <w:tcW w:w="9576" w:type="dxa"/>
            <w:shd w:val="clear" w:color="auto" w:fill="F2F2F2" w:themeFill="background1" w:themeFillShade="F2"/>
          </w:tcPr>
          <w:p w14:paraId="65A835AB" w14:textId="77777777" w:rsidR="00A470B9" w:rsidRPr="00683413" w:rsidRDefault="00A470B9" w:rsidP="003B0E57">
            <w:pPr>
              <w:spacing w:after="120"/>
              <w:rPr>
                <w:szCs w:val="20"/>
                <w:rtl/>
              </w:rPr>
            </w:pPr>
            <w:r w:rsidRPr="00683413">
              <w:rPr>
                <w:rtl/>
              </w:rPr>
              <w:t>التواصل مع السلطات المسؤولة لتوفير المعلومات حول غرض مركز الاستقبال/ المغادرة وقدرته من خلال توفير المساعدة لسلطات المطار في تجهيز فرق الإغاثة الدولية الوافدة لتيسير النشر السريع إلى المنطقة المتضرِّرة من الكارثة.</w:t>
            </w:r>
          </w:p>
        </w:tc>
      </w:tr>
      <w:tr w:rsidR="00A470B9" w:rsidRPr="00683413" w14:paraId="22FA42C1" w14:textId="77777777" w:rsidTr="003B0E57">
        <w:tc>
          <w:tcPr>
            <w:tcW w:w="9576" w:type="dxa"/>
            <w:shd w:val="clear" w:color="auto" w:fill="F2F2F2" w:themeFill="background1" w:themeFillShade="F2"/>
          </w:tcPr>
          <w:p w14:paraId="3C8A5C0D" w14:textId="77777777" w:rsidR="00A470B9" w:rsidRPr="00683413" w:rsidRDefault="00A470B9" w:rsidP="003B0E57">
            <w:pPr>
              <w:spacing w:after="120"/>
              <w:rPr>
                <w:szCs w:val="20"/>
                <w:rtl/>
              </w:rPr>
            </w:pPr>
            <w:r w:rsidRPr="00683413">
              <w:rPr>
                <w:rtl/>
              </w:rPr>
              <w:t>إنشاء سلسلة من المحطات لإتاحة التجهيز السريع لفرق الإغاثة الوافدة. يجب أن تتضمن المحطات الهجرة والجمارك والتسجيل والإحاطة واللوجستيات والنقل إلى الموقع.</w:t>
            </w:r>
          </w:p>
        </w:tc>
      </w:tr>
      <w:tr w:rsidR="00A470B9" w:rsidRPr="00683413" w14:paraId="229D5348" w14:textId="77777777" w:rsidTr="003B0E57">
        <w:tc>
          <w:tcPr>
            <w:tcW w:w="9576" w:type="dxa"/>
            <w:shd w:val="clear" w:color="auto" w:fill="F2F2F2" w:themeFill="background1" w:themeFillShade="F2"/>
          </w:tcPr>
          <w:p w14:paraId="75DFB7DB" w14:textId="77777777" w:rsidR="00A470B9" w:rsidRPr="00683413" w:rsidRDefault="00A470B9" w:rsidP="003B0E57">
            <w:pPr>
              <w:spacing w:after="120"/>
              <w:rPr>
                <w:szCs w:val="20"/>
                <w:rtl/>
              </w:rPr>
            </w:pPr>
            <w:r w:rsidRPr="00683413">
              <w:rPr>
                <w:rtl/>
              </w:rPr>
              <w:t>الإشراف على أنشطة موظفي مركز الاستقبال/ المغادرة خلال العملية.</w:t>
            </w:r>
          </w:p>
        </w:tc>
      </w:tr>
      <w:tr w:rsidR="00A470B9" w:rsidRPr="00683413" w14:paraId="33728536" w14:textId="77777777" w:rsidTr="003B0E57">
        <w:tc>
          <w:tcPr>
            <w:tcW w:w="9576" w:type="dxa"/>
            <w:shd w:val="clear" w:color="auto" w:fill="F2F2F2" w:themeFill="background1" w:themeFillShade="F2"/>
          </w:tcPr>
          <w:p w14:paraId="0890BB6A" w14:textId="77777777" w:rsidR="00A470B9" w:rsidRPr="00683413" w:rsidRDefault="00A470B9" w:rsidP="003B0E57">
            <w:pPr>
              <w:spacing w:after="120"/>
              <w:rPr>
                <w:szCs w:val="20"/>
                <w:rtl/>
              </w:rPr>
            </w:pPr>
            <w:r w:rsidRPr="00683413">
              <w:rPr>
                <w:rtl/>
              </w:rPr>
              <w:t>ضمان تدفق المعلومات من مركز الاستقبال/ المغادرة إلى مركز تنسيق العمليات في الموقع/ خلية تنسيق البحث والإنقاذ في المناطق الحضرية والوكالة المحلية لإدارة الطوارئ.</w:t>
            </w:r>
          </w:p>
        </w:tc>
      </w:tr>
      <w:tr w:rsidR="00A470B9" w:rsidRPr="00683413" w14:paraId="35C44068" w14:textId="77777777" w:rsidTr="003B0E57">
        <w:tc>
          <w:tcPr>
            <w:tcW w:w="9576" w:type="dxa"/>
            <w:shd w:val="clear" w:color="auto" w:fill="F2F2F2" w:themeFill="background1" w:themeFillShade="F2"/>
          </w:tcPr>
          <w:p w14:paraId="4B6D28D5" w14:textId="77777777" w:rsidR="00A470B9" w:rsidRPr="00683413" w:rsidRDefault="00A470B9" w:rsidP="003B0E57">
            <w:pPr>
              <w:spacing w:after="120"/>
              <w:rPr>
                <w:szCs w:val="20"/>
                <w:rtl/>
              </w:rPr>
            </w:pPr>
            <w:r w:rsidRPr="00683413">
              <w:rPr>
                <w:rtl/>
              </w:rPr>
              <w:lastRenderedPageBreak/>
              <w:t>تيسير دعم اللوجستيات لفرق الإغاثة الدولية الوافدة بالتعاون مع الوكالة المحلية لإدارة الطوارئ وسلطات المطار. تتضمن هذه المهمة تحديد متطلبات اللوجستيات لفرق البحث والإنقاذ في المناطق الحضرية الوافدة، واتخاذ الترتيبات اللوجستية اللازمة مع الوكالة المحلية لإدارة الطوارئ وإحاطة أعضاء فرق الإغاثة الوافدة حديثًا وفقًا لذلك.</w:t>
            </w:r>
          </w:p>
        </w:tc>
      </w:tr>
      <w:tr w:rsidR="00A470B9" w:rsidRPr="00683413" w14:paraId="05B6CA8B" w14:textId="77777777" w:rsidTr="003B0E57">
        <w:tc>
          <w:tcPr>
            <w:tcW w:w="9576" w:type="dxa"/>
            <w:shd w:val="clear" w:color="auto" w:fill="F2F2F2" w:themeFill="background1" w:themeFillShade="F2"/>
          </w:tcPr>
          <w:p w14:paraId="44E7A521" w14:textId="77777777" w:rsidR="00A470B9" w:rsidRPr="00683413" w:rsidRDefault="00A470B9" w:rsidP="003B0E57">
            <w:pPr>
              <w:spacing w:after="120"/>
              <w:rPr>
                <w:szCs w:val="20"/>
                <w:rtl/>
              </w:rPr>
            </w:pPr>
            <w:r w:rsidRPr="00683413">
              <w:rPr>
                <w:rtl/>
              </w:rPr>
              <w:t>إذا طلب مركز تنسيق العمليات في الموقع أو طلبت الوكالة المحلية لإدارة الطوارئ من مركز الاستقبال/ المغادرة المساعدة في تتبع المساهمات الدولية، فقد تسند هذه المسؤولية إلى أقسام لوجستيات مركز الاستقبال والمغادرة/ خلية تنسيق البحث والإنقاذ في المناطق الحضرية.</w:t>
            </w:r>
          </w:p>
        </w:tc>
      </w:tr>
      <w:tr w:rsidR="00A470B9" w:rsidRPr="00683413" w14:paraId="16390552" w14:textId="77777777" w:rsidTr="003B0E57">
        <w:tc>
          <w:tcPr>
            <w:tcW w:w="9576" w:type="dxa"/>
            <w:shd w:val="clear" w:color="auto" w:fill="F2F2F2" w:themeFill="background1" w:themeFillShade="F2"/>
          </w:tcPr>
          <w:p w14:paraId="5084EB05" w14:textId="77777777" w:rsidR="00A470B9" w:rsidRPr="00683413" w:rsidRDefault="00A470B9" w:rsidP="003B0E57">
            <w:pPr>
              <w:spacing w:after="120"/>
              <w:rPr>
                <w:szCs w:val="20"/>
                <w:rtl/>
              </w:rPr>
            </w:pPr>
            <w:r w:rsidRPr="00683413">
              <w:rPr>
                <w:rtl/>
              </w:rPr>
              <w:t>التواصل مع مجموعة اللوجستيات حال إنشائها.</w:t>
            </w:r>
          </w:p>
        </w:tc>
      </w:tr>
      <w:tr w:rsidR="00A470B9" w:rsidRPr="00683413" w14:paraId="71F7B84D" w14:textId="77777777" w:rsidTr="003B0E57">
        <w:tc>
          <w:tcPr>
            <w:tcW w:w="9576" w:type="dxa"/>
            <w:shd w:val="clear" w:color="auto" w:fill="F2F2F2" w:themeFill="background1" w:themeFillShade="F2"/>
          </w:tcPr>
          <w:p w14:paraId="248DE0D9" w14:textId="77777777" w:rsidR="00A470B9" w:rsidRPr="00683413" w:rsidRDefault="00A470B9" w:rsidP="003B0E57">
            <w:pPr>
              <w:spacing w:after="120"/>
              <w:rPr>
                <w:szCs w:val="20"/>
                <w:rtl/>
              </w:rPr>
            </w:pPr>
            <w:r w:rsidRPr="00683413">
              <w:rPr>
                <w:rtl/>
              </w:rPr>
              <w:t>ضمان إنشاء مركز الاستقبال/ المغادرة، بما في ذلك محطة من أجل التجهيز السريع لفرق الإغاثة الوافدة.</w:t>
            </w:r>
          </w:p>
        </w:tc>
      </w:tr>
      <w:tr w:rsidR="00A470B9" w:rsidRPr="00683413" w14:paraId="3A11154A" w14:textId="77777777" w:rsidTr="003B0E57">
        <w:tc>
          <w:tcPr>
            <w:tcW w:w="9576" w:type="dxa"/>
            <w:shd w:val="clear" w:color="auto" w:fill="F2F2F2" w:themeFill="background1" w:themeFillShade="F2"/>
          </w:tcPr>
          <w:p w14:paraId="47664926" w14:textId="77777777" w:rsidR="00A470B9" w:rsidRPr="00683413" w:rsidRDefault="00A470B9" w:rsidP="003B0E57">
            <w:pPr>
              <w:spacing w:after="120"/>
              <w:rPr>
                <w:szCs w:val="20"/>
                <w:rtl/>
              </w:rPr>
            </w:pPr>
            <w:r w:rsidRPr="00683413">
              <w:rPr>
                <w:rtl/>
              </w:rPr>
              <w:t>ضمان إعداد وتشغيل أي أجهزة إلكترونية مطلوبة لتنفيذ المهمة الخاصة بها، بما في ذلك أجهزة تكنولوجيات المعلومات والاتصالات وإمكانية الاتصال بالإنترنت والاتصال في مركز الاستقبال/ المغادرة.</w:t>
            </w:r>
          </w:p>
        </w:tc>
      </w:tr>
      <w:tr w:rsidR="00A470B9" w:rsidRPr="00683413" w14:paraId="5FAD14A5" w14:textId="77777777" w:rsidTr="003B0E57">
        <w:tc>
          <w:tcPr>
            <w:tcW w:w="9576" w:type="dxa"/>
            <w:shd w:val="clear" w:color="auto" w:fill="F2F2F2" w:themeFill="background1" w:themeFillShade="F2"/>
          </w:tcPr>
          <w:p w14:paraId="3C6A9398" w14:textId="77777777" w:rsidR="00A470B9" w:rsidRPr="00683413" w:rsidRDefault="00A470B9" w:rsidP="003B0E57">
            <w:pPr>
              <w:spacing w:after="120"/>
              <w:rPr>
                <w:szCs w:val="20"/>
                <w:rtl/>
              </w:rPr>
            </w:pPr>
            <w:r w:rsidRPr="00683413">
              <w:rPr>
                <w:rtl/>
              </w:rPr>
              <w:t>تسجيل المعلومات حول فرق الإغاثة الوافدة في محطات الاستقبال المخصصة ومشاركة هذه المعلومات مع مركز تنسيق العمليات في الموقع/ خلية تنسيق البحث والإنقاذ في المناطق الحضرية وأصحاب المصلحة الآخرين.</w:t>
            </w:r>
          </w:p>
        </w:tc>
      </w:tr>
      <w:tr w:rsidR="00A470B9" w:rsidRPr="00683413" w14:paraId="60097148" w14:textId="77777777" w:rsidTr="003B0E57">
        <w:tc>
          <w:tcPr>
            <w:tcW w:w="9576" w:type="dxa"/>
            <w:shd w:val="clear" w:color="auto" w:fill="F2F2F2" w:themeFill="background1" w:themeFillShade="F2"/>
          </w:tcPr>
          <w:p w14:paraId="0DFDE366" w14:textId="77777777" w:rsidR="00A470B9" w:rsidRPr="00683413" w:rsidRDefault="00A470B9" w:rsidP="003B0E57">
            <w:pPr>
              <w:spacing w:after="120"/>
              <w:rPr>
                <w:szCs w:val="20"/>
                <w:rtl/>
              </w:rPr>
            </w:pPr>
            <w:r w:rsidRPr="00683413">
              <w:rPr>
                <w:rtl/>
              </w:rPr>
              <w:t>إنشاء نظام لحفظ الوثائق الإلكترونية وإنشاء نسخ احتياطية منها بانتظام.</w:t>
            </w:r>
          </w:p>
        </w:tc>
      </w:tr>
    </w:tbl>
    <w:p w14:paraId="290A317E" w14:textId="654BBDF5" w:rsidR="00A470B9" w:rsidRPr="00683413" w:rsidRDefault="00A470B9" w:rsidP="00A470B9"/>
    <w:p w14:paraId="25C341F0" w14:textId="654E7ACE" w:rsidR="00A470B9" w:rsidRPr="00683413" w:rsidRDefault="00327EFC" w:rsidP="00327EFC">
      <w:pPr>
        <w:jc w:val="center"/>
        <w:rPr>
          <w:rtl/>
        </w:rPr>
      </w:pPr>
      <w:r w:rsidRPr="00683413">
        <w:rPr>
          <w:noProof/>
          <w:rtl/>
        </w:rPr>
        <w:drawing>
          <wp:inline distT="0" distB="0" distL="0" distR="0" wp14:anchorId="0ECA0C2D" wp14:editId="248D21AB">
            <wp:extent cx="5216702" cy="3274200"/>
            <wp:effectExtent l="0" t="0" r="3175" b="2540"/>
            <wp:docPr id="92957" name="Picture 9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57" name="Picture 9295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16702" cy="3274200"/>
                    </a:xfrm>
                    <a:prstGeom prst="rect">
                      <a:avLst/>
                    </a:prstGeom>
                  </pic:spPr>
                </pic:pic>
              </a:graphicData>
            </a:graphic>
          </wp:inline>
        </w:drawing>
      </w:r>
    </w:p>
    <w:sectPr w:rsidR="00A470B9" w:rsidRPr="00683413" w:rsidSect="00683413">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8AF05" w14:textId="77777777" w:rsidR="00975753" w:rsidRDefault="00975753" w:rsidP="00D970BB">
      <w:pPr>
        <w:spacing w:after="0" w:line="240" w:lineRule="auto"/>
      </w:pPr>
      <w:r>
        <w:separator/>
      </w:r>
    </w:p>
  </w:endnote>
  <w:endnote w:type="continuationSeparator" w:id="0">
    <w:p w14:paraId="2A59C5D4" w14:textId="77777777" w:rsidR="00975753" w:rsidRDefault="00975753" w:rsidP="00D97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889A3" w14:textId="77777777" w:rsidR="004C1349" w:rsidRPr="00683413" w:rsidRDefault="004C13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EBFDB" w14:textId="77777777" w:rsidR="00D970BB" w:rsidRPr="00683413" w:rsidRDefault="00D970BB" w:rsidP="00D970BB">
    <w:pPr>
      <w:pStyle w:val="Footer"/>
      <w:spacing w:before="240"/>
      <w:jc w:val="center"/>
      <w:rPr>
        <w:sz w:val="16"/>
        <w:rtl/>
      </w:rPr>
    </w:pPr>
    <w:r>
      <w:rPr>
        <w:rFonts w:hint="cs"/>
        <w:noProof/>
        <w:color w:val="808080" w:themeColor="background1" w:themeShade="80"/>
        <w:sz w:val="16"/>
        <w:rtl/>
      </w:rPr>
      <mc:AlternateContent>
        <mc:Choice Requires="wps">
          <w:drawing>
            <wp:anchor distT="0" distB="0" distL="114300" distR="114300" simplePos="0" relativeHeight="251659264" behindDoc="0" locked="0" layoutInCell="1" allowOverlap="1" wp14:anchorId="6FE1CD90" wp14:editId="4498081F">
              <wp:simplePos x="0" y="0"/>
              <wp:positionH relativeFrom="column">
                <wp:posOffset>0</wp:posOffset>
              </wp:positionH>
              <wp:positionV relativeFrom="paragraph">
                <wp:posOffset>0</wp:posOffset>
              </wp:positionV>
              <wp:extent cx="5996763"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9676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B2559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0" to="472.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" strokecolor="#4472c4 [3204]" strokeweight=".5pt">
              <v:stroke joinstyle="miter"/>
            </v:line>
          </w:pict>
        </mc:Fallback>
      </mc:AlternateContent>
    </w:r>
    <w:r w:rsidRPr="00683413">
      <w:rPr>
        <w:rFonts w:hint="cs"/>
        <w:color w:val="808080" w:themeColor="background1" w:themeShade="80"/>
        <w:sz w:val="16"/>
        <w:szCs w:val="16"/>
        <w:rtl/>
      </w:rPr>
      <w:t>مكتب الأمم المتحدة لتنسيق الشؤون الإنسانية (</w:t>
    </w:r>
    <w:proofErr w:type="spellStart"/>
    <w:r w:rsidRPr="00683413">
      <w:rPr>
        <w:rFonts w:hint="cs"/>
        <w:color w:val="808080" w:themeColor="background1" w:themeShade="80"/>
        <w:sz w:val="16"/>
        <w:szCs w:val="16"/>
        <w:rtl/>
      </w:rPr>
      <w:t>أوتشا</w:t>
    </w:r>
    <w:proofErr w:type="spellEnd"/>
    <w:r w:rsidRPr="00683413">
      <w:rPr>
        <w:rFonts w:hint="cs"/>
        <w:color w:val="808080" w:themeColor="background1" w:themeShade="80"/>
        <w:sz w:val="16"/>
        <w:szCs w:val="16"/>
        <w:rtl/>
      </w:rPr>
      <w:t>)</w:t>
    </w:r>
  </w:p>
  <w:p w14:paraId="4FF32985" w14:textId="77777777" w:rsidR="00D970BB" w:rsidRPr="00683413" w:rsidRDefault="00D970BB" w:rsidP="00D970BB">
    <w:pPr>
      <w:pStyle w:val="Footer"/>
      <w:jc w:val="center"/>
      <w:rPr>
        <w:color w:val="0070C0"/>
        <w:sz w:val="16"/>
        <w:rtl/>
      </w:rPr>
    </w:pPr>
    <w:r w:rsidRPr="00683413">
      <w:rPr>
        <w:color w:val="0070C0"/>
        <w:sz w:val="16"/>
        <w:szCs w:val="16"/>
      </w:rPr>
      <w:t>www.unocha.org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2EDCE" w14:textId="77777777" w:rsidR="004C1349" w:rsidRPr="00683413" w:rsidRDefault="004C1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16AF8" w14:textId="77777777" w:rsidR="00975753" w:rsidRDefault="00975753" w:rsidP="00D970BB">
      <w:pPr>
        <w:spacing w:after="0" w:line="240" w:lineRule="auto"/>
      </w:pPr>
      <w:r>
        <w:separator/>
      </w:r>
    </w:p>
  </w:footnote>
  <w:footnote w:type="continuationSeparator" w:id="0">
    <w:p w14:paraId="3E35605B" w14:textId="77777777" w:rsidR="00975753" w:rsidRDefault="00975753" w:rsidP="00D970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CCF20" w14:textId="77777777" w:rsidR="004C1349" w:rsidRPr="00683413" w:rsidRDefault="004C13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48654206"/>
      <w:docPartObj>
        <w:docPartGallery w:val="Page Numbers (Top of Page)"/>
        <w:docPartUnique/>
      </w:docPartObj>
    </w:sdtPr>
    <w:sdtEndPr>
      <w:rPr>
        <w:noProof/>
        <w:color w:val="0070C0"/>
      </w:rPr>
    </w:sdtEndPr>
    <w:sdtContent>
      <w:p w14:paraId="27DC2C6B" w14:textId="755DA902" w:rsidR="00D970BB" w:rsidRPr="00683413" w:rsidRDefault="004C1349" w:rsidP="00D970BB">
        <w:pPr>
          <w:pStyle w:val="Header"/>
          <w:jc w:val="right"/>
          <w:rPr>
            <w:color w:val="0070C0"/>
            <w:szCs w:val="20"/>
            <w:rtl/>
          </w:rPr>
        </w:pPr>
        <w:r>
          <w:rPr>
            <w:rFonts w:hint="cs"/>
            <w:noProof/>
            <w:color w:val="0070C0"/>
            <w:rtl/>
          </w:rPr>
          <mc:AlternateContent>
            <mc:Choice Requires="wps">
              <w:drawing>
                <wp:anchor distT="0" distB="0" distL="114300" distR="114300" simplePos="0" relativeHeight="251661312" behindDoc="0" locked="0" layoutInCell="1" allowOverlap="1" wp14:anchorId="19279CFF" wp14:editId="234E715C">
                  <wp:simplePos x="0" y="0"/>
                  <wp:positionH relativeFrom="margin">
                    <wp:posOffset>31750</wp:posOffset>
                  </wp:positionH>
                  <wp:positionV relativeFrom="paragraph">
                    <wp:posOffset>222250</wp:posOffset>
                  </wp:positionV>
                  <wp:extent cx="5894705" cy="25400"/>
                  <wp:effectExtent l="0" t="0" r="29845" b="31750"/>
                  <wp:wrapNone/>
                  <wp:docPr id="16" name="Straight Connector 16"/>
                  <wp:cNvGraphicFramePr/>
                  <a:graphic xmlns:a="http://schemas.openxmlformats.org/drawingml/2006/main">
                    <a:graphicData uri="http://schemas.microsoft.com/office/word/2010/wordprocessingShape">
                      <wps:wsp>
                        <wps:cNvCnPr/>
                        <wps:spPr>
                          <a:xfrm flipV="1">
                            <a:off x="0" y="0"/>
                            <a:ext cx="5894705" cy="25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524936" id="Straight Connector 16"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pt,17.5pt" to="466.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" strokecolor="#4472c4 [3204]" strokeweight=".5pt">
                  <v:stroke joinstyle="miter"/>
                  <w10:wrap anchorx="margin"/>
                </v:line>
              </w:pict>
            </mc:Fallback>
          </mc:AlternateContent>
        </w:r>
        <w:r w:rsidR="00D970BB" w:rsidRPr="00683413">
          <w:rPr>
            <w:rFonts w:hint="cs"/>
            <w:color w:val="0070C0"/>
            <w:sz w:val="18"/>
            <w:rtl/>
          </w:rPr>
          <w:fldChar w:fldCharType="begin"/>
        </w:r>
        <w:r w:rsidRPr="00683413">
          <w:rPr>
            <w:rtl/>
          </w:rPr>
          <w:instrText xml:space="preserve"> </w:instrText>
        </w:r>
        <w:r w:rsidR="00D970BB" w:rsidRPr="00683413">
          <w:rPr>
            <w:rFonts w:hint="cs"/>
            <w:color w:val="0070C0"/>
            <w:sz w:val="18"/>
          </w:rPr>
          <w:instrText xml:space="preserve">PAGE   \* MERGEFORMAT </w:instrText>
        </w:r>
        <w:r w:rsidR="00D970BB" w:rsidRPr="00683413">
          <w:rPr>
            <w:rFonts w:hint="cs"/>
            <w:color w:val="0070C0"/>
            <w:sz w:val="18"/>
          </w:rPr>
          <w:fldChar w:fldCharType="separate"/>
        </w:r>
        <w:r w:rsidR="00D970BB" w:rsidRPr="00683413">
          <w:rPr>
            <w:rFonts w:hint="cs"/>
            <w:color w:val="0070C0"/>
            <w:sz w:val="18"/>
            <w:rtl/>
          </w:rPr>
          <w:t>3</w:t>
        </w:r>
        <w:r w:rsidR="00D970BB" w:rsidRPr="00683413">
          <w:rPr>
            <w:rFonts w:hint="cs"/>
            <w:color w:val="0070C0"/>
            <w:sz w:val="18"/>
            <w:rtl/>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F6D19" w14:textId="77777777" w:rsidR="004C1349" w:rsidRPr="00683413" w:rsidRDefault="004C13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317C1"/>
    <w:multiLevelType w:val="hybridMultilevel"/>
    <w:tmpl w:val="09289548"/>
    <w:lvl w:ilvl="0" w:tplc="49C0C902">
      <w:start w:val="1"/>
      <w:numFmt w:val="decimal"/>
      <w:lvlText w:val="%1."/>
      <w:lvlJc w:val="left"/>
      <w:pPr>
        <w:ind w:left="360" w:hanging="360"/>
      </w:pPr>
      <w:rPr>
        <w:color w:val="0070C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0E706A"/>
    <w:multiLevelType w:val="hybridMultilevel"/>
    <w:tmpl w:val="D3C2338E"/>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32061"/>
    <w:multiLevelType w:val="hybridMultilevel"/>
    <w:tmpl w:val="A2BA6314"/>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92EE9"/>
    <w:multiLevelType w:val="hybridMultilevel"/>
    <w:tmpl w:val="37D407FA"/>
    <w:lvl w:ilvl="0" w:tplc="49C0C902">
      <w:start w:val="1"/>
      <w:numFmt w:val="decimal"/>
      <w:lvlText w:val="%1."/>
      <w:lvlJc w:val="left"/>
      <w:pPr>
        <w:ind w:left="720" w:hanging="360"/>
      </w:pPr>
      <w:rPr>
        <w:color w:val="0070C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52F79BD"/>
    <w:multiLevelType w:val="hybridMultilevel"/>
    <w:tmpl w:val="15DCF070"/>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AB0BC0"/>
    <w:multiLevelType w:val="hybridMultilevel"/>
    <w:tmpl w:val="E45413DA"/>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F04847"/>
    <w:multiLevelType w:val="hybridMultilevel"/>
    <w:tmpl w:val="37D407FA"/>
    <w:lvl w:ilvl="0" w:tplc="49C0C902">
      <w:start w:val="1"/>
      <w:numFmt w:val="decimal"/>
      <w:lvlText w:val="%1."/>
      <w:lvlJc w:val="left"/>
      <w:pPr>
        <w:ind w:left="360" w:hanging="360"/>
      </w:pPr>
      <w:rPr>
        <w:color w:val="0070C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5F56DC8"/>
    <w:multiLevelType w:val="hybridMultilevel"/>
    <w:tmpl w:val="B31487B6"/>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471FDF"/>
    <w:multiLevelType w:val="hybridMultilevel"/>
    <w:tmpl w:val="AA1EB7B0"/>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7E20AA"/>
    <w:multiLevelType w:val="hybridMultilevel"/>
    <w:tmpl w:val="DBD4D1D8"/>
    <w:lvl w:ilvl="0" w:tplc="B73C0108">
      <w:start w:val="1"/>
      <w:numFmt w:val="decimal"/>
      <w:pStyle w:val="OCHAnumberedlist"/>
      <w:lvlText w:val="%1."/>
      <w:lvlJc w:val="left"/>
      <w:pPr>
        <w:ind w:left="720" w:hanging="360"/>
      </w:pPr>
      <w:rPr>
        <w:rFonts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3067394"/>
    <w:multiLevelType w:val="hybridMultilevel"/>
    <w:tmpl w:val="1F0EE4B4"/>
    <w:lvl w:ilvl="0" w:tplc="E008372E">
      <w:start w:val="1"/>
      <w:numFmt w:val="bullet"/>
      <w:lvlText w:val=""/>
      <w:lvlJc w:val="left"/>
      <w:pPr>
        <w:ind w:left="720" w:hanging="360"/>
      </w:pPr>
      <w:rPr>
        <w:rFonts w:ascii="Wingdings 2" w:hAnsi="Wingdings 2" w:hint="default"/>
        <w:sz w:val="28"/>
        <w:szCs w:val="28"/>
      </w:rPr>
    </w:lvl>
    <w:lvl w:ilvl="1" w:tplc="A3522D82">
      <w:numFmt w:val="bullet"/>
      <w:lvlText w:val="-"/>
      <w:lvlJc w:val="left"/>
      <w:pPr>
        <w:ind w:left="1440" w:hanging="360"/>
      </w:pPr>
      <w:rPr>
        <w:rFonts w:ascii="Calibri" w:eastAsiaTheme="minorHAnsi" w:hAnsi="Calibri" w:cs="Calibri"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79A02F78"/>
    <w:multiLevelType w:val="hybridMultilevel"/>
    <w:tmpl w:val="8E5259AC"/>
    <w:lvl w:ilvl="0" w:tplc="7292BB7A">
      <w:start w:val="1"/>
      <w:numFmt w:val="bullet"/>
      <w:pStyle w:val="OCHAbullet"/>
      <w:lvlText w:val=""/>
      <w:lvlJc w:val="left"/>
      <w:pPr>
        <w:ind w:left="720" w:hanging="360"/>
      </w:pPr>
      <w:rPr>
        <w:rFonts w:ascii="Symbol" w:hAnsi="Symbol"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1402821">
    <w:abstractNumId w:val="0"/>
  </w:num>
  <w:num w:numId="2" w16cid:durableId="115027216">
    <w:abstractNumId w:val="6"/>
  </w:num>
  <w:num w:numId="3" w16cid:durableId="1188909780">
    <w:abstractNumId w:val="3"/>
  </w:num>
  <w:num w:numId="4" w16cid:durableId="695085344">
    <w:abstractNumId w:val="9"/>
  </w:num>
  <w:num w:numId="5" w16cid:durableId="2071535314">
    <w:abstractNumId w:val="4"/>
  </w:num>
  <w:num w:numId="6" w16cid:durableId="771171059">
    <w:abstractNumId w:val="1"/>
  </w:num>
  <w:num w:numId="7" w16cid:durableId="1370030735">
    <w:abstractNumId w:val="8"/>
  </w:num>
  <w:num w:numId="8" w16cid:durableId="1635333076">
    <w:abstractNumId w:val="7"/>
  </w:num>
  <w:num w:numId="9" w16cid:durableId="841776740">
    <w:abstractNumId w:val="5"/>
  </w:num>
  <w:num w:numId="10" w16cid:durableId="2054688570">
    <w:abstractNumId w:val="2"/>
  </w:num>
  <w:num w:numId="11" w16cid:durableId="194319221">
    <w:abstractNumId w:val="11"/>
  </w:num>
  <w:num w:numId="12" w16cid:durableId="17484565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0BB"/>
    <w:rsid w:val="001F6E80"/>
    <w:rsid w:val="00222C53"/>
    <w:rsid w:val="002D647D"/>
    <w:rsid w:val="00327EFC"/>
    <w:rsid w:val="0033420C"/>
    <w:rsid w:val="00366DB6"/>
    <w:rsid w:val="00395450"/>
    <w:rsid w:val="00433F16"/>
    <w:rsid w:val="004C1349"/>
    <w:rsid w:val="0066238F"/>
    <w:rsid w:val="00683413"/>
    <w:rsid w:val="00693600"/>
    <w:rsid w:val="006B0430"/>
    <w:rsid w:val="006C7FD9"/>
    <w:rsid w:val="0080230B"/>
    <w:rsid w:val="00837E94"/>
    <w:rsid w:val="008413E4"/>
    <w:rsid w:val="00916F2F"/>
    <w:rsid w:val="00945E4E"/>
    <w:rsid w:val="00975753"/>
    <w:rsid w:val="00A470B9"/>
    <w:rsid w:val="00B7085A"/>
    <w:rsid w:val="00C70F9B"/>
    <w:rsid w:val="00CF4FD1"/>
    <w:rsid w:val="00D53610"/>
    <w:rsid w:val="00D970BB"/>
    <w:rsid w:val="00DB307E"/>
    <w:rsid w:val="00E609BF"/>
    <w:rsid w:val="00EA218B"/>
    <w:rsid w:val="00EA54CE"/>
    <w:rsid w:val="00F02F7E"/>
    <w:rsid w:val="00F60F8F"/>
    <w:rsid w:val="00F8500C"/>
    <w:rsid w:val="00FC0A81"/>
    <w:rsid w:val="00FD0B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07A78"/>
  <w15:chartTrackingRefBased/>
  <w15:docId w15:val="{9069CA1C-0D75-4811-B382-4420E4574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EG"/>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13"/>
    <w:pPr>
      <w:bidi/>
      <w:spacing w:after="200" w:line="276" w:lineRule="auto"/>
    </w:pPr>
    <w:rPr>
      <w:rFonts w:ascii="Arial" w:hAnsi="Arial" w:cs="Arial"/>
      <w:sz w:val="20"/>
      <w:szCs w:val="24"/>
      <w:lang w:val="en-GB"/>
    </w:rPr>
  </w:style>
  <w:style w:type="paragraph" w:styleId="Heading2">
    <w:name w:val="heading 2"/>
    <w:basedOn w:val="Normal"/>
    <w:next w:val="Normal"/>
    <w:link w:val="Heading2Char"/>
    <w:uiPriority w:val="9"/>
    <w:unhideWhenUsed/>
    <w:qFormat/>
    <w:rsid w:val="00D970BB"/>
    <w:pPr>
      <w:keepNext/>
      <w:keepLines/>
      <w:spacing w:before="360" w:after="110"/>
      <w:ind w:left="576" w:hanging="576"/>
      <w:outlineLvl w:val="1"/>
    </w:pPr>
    <w:rPr>
      <w:rFonts w:eastAsiaTheme="majorEastAsia"/>
      <w:b/>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970BB"/>
    <w:pPr>
      <w:tabs>
        <w:tab w:val="center" w:pos="4680"/>
        <w:tab w:val="right" w:pos="9360"/>
      </w:tabs>
      <w:spacing w:after="0" w:line="240" w:lineRule="auto"/>
    </w:pPr>
  </w:style>
  <w:style w:type="character" w:customStyle="1" w:styleId="HeaderChar">
    <w:name w:val="Header Char"/>
    <w:basedOn w:val="DefaultParagraphFont"/>
    <w:link w:val="Header"/>
    <w:rsid w:val="00D970BB"/>
    <w:rPr>
      <w:lang w:val="en-GB"/>
    </w:rPr>
  </w:style>
  <w:style w:type="paragraph" w:styleId="Footer">
    <w:name w:val="footer"/>
    <w:basedOn w:val="Normal"/>
    <w:link w:val="FooterChar"/>
    <w:uiPriority w:val="99"/>
    <w:unhideWhenUsed/>
    <w:rsid w:val="00D970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70BB"/>
    <w:rPr>
      <w:lang w:val="en-GB"/>
    </w:rPr>
  </w:style>
  <w:style w:type="paragraph" w:styleId="CommentText">
    <w:name w:val="annotation text"/>
    <w:basedOn w:val="Normal"/>
    <w:link w:val="CommentTextChar"/>
    <w:uiPriority w:val="99"/>
    <w:unhideWhenUsed/>
    <w:rsid w:val="00D970BB"/>
    <w:pPr>
      <w:spacing w:after="0" w:line="240" w:lineRule="auto"/>
      <w:jc w:val="both"/>
    </w:pPr>
    <w:rPr>
      <w:rFonts w:eastAsiaTheme="minorEastAsia"/>
      <w:szCs w:val="20"/>
    </w:rPr>
  </w:style>
  <w:style w:type="character" w:customStyle="1" w:styleId="CommentTextChar">
    <w:name w:val="Comment Text Char"/>
    <w:basedOn w:val="DefaultParagraphFont"/>
    <w:link w:val="CommentText"/>
    <w:uiPriority w:val="99"/>
    <w:rsid w:val="00D970BB"/>
    <w:rPr>
      <w:rFonts w:ascii="Arial" w:eastAsiaTheme="minorEastAsia" w:hAnsi="Arial" w:cs="Arial"/>
      <w:sz w:val="20"/>
      <w:szCs w:val="20"/>
      <w:lang w:val="en-GB"/>
    </w:rPr>
  </w:style>
  <w:style w:type="character" w:styleId="CommentReference">
    <w:name w:val="annotation reference"/>
    <w:uiPriority w:val="99"/>
    <w:semiHidden/>
    <w:unhideWhenUsed/>
    <w:rsid w:val="00D970BB"/>
    <w:rPr>
      <w:sz w:val="16"/>
      <w:szCs w:val="16"/>
    </w:rPr>
  </w:style>
  <w:style w:type="paragraph" w:styleId="ListParagraph">
    <w:name w:val="List Paragraph"/>
    <w:basedOn w:val="Normal"/>
    <w:link w:val="ListParagraphChar"/>
    <w:uiPriority w:val="34"/>
    <w:qFormat/>
    <w:rsid w:val="00D970BB"/>
    <w:pPr>
      <w:contextualSpacing/>
    </w:pPr>
    <w:rPr>
      <w:rFonts w:eastAsiaTheme="minorEastAsia"/>
      <w:szCs w:val="20"/>
    </w:rPr>
  </w:style>
  <w:style w:type="character" w:customStyle="1" w:styleId="ListParagraphChar">
    <w:name w:val="List Paragraph Char"/>
    <w:link w:val="ListParagraph"/>
    <w:uiPriority w:val="34"/>
    <w:locked/>
    <w:rsid w:val="00D970BB"/>
    <w:rPr>
      <w:rFonts w:ascii="Arial" w:eastAsiaTheme="minorEastAsia" w:hAnsi="Arial" w:cs="Arial"/>
      <w:sz w:val="20"/>
      <w:szCs w:val="20"/>
      <w:lang w:val="en-GB"/>
    </w:rPr>
  </w:style>
  <w:style w:type="paragraph" w:styleId="BalloonText">
    <w:name w:val="Balloon Text"/>
    <w:basedOn w:val="Normal"/>
    <w:link w:val="BalloonTextChar"/>
    <w:uiPriority w:val="99"/>
    <w:semiHidden/>
    <w:unhideWhenUsed/>
    <w:rsid w:val="00D970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0BB"/>
    <w:rPr>
      <w:rFonts w:ascii="Segoe UI" w:hAnsi="Segoe UI" w:cs="Segoe UI"/>
      <w:sz w:val="18"/>
      <w:szCs w:val="18"/>
      <w:lang w:val="en-GB"/>
    </w:rPr>
  </w:style>
  <w:style w:type="character" w:customStyle="1" w:styleId="Heading2Char">
    <w:name w:val="Heading 2 Char"/>
    <w:basedOn w:val="DefaultParagraphFont"/>
    <w:link w:val="Heading2"/>
    <w:uiPriority w:val="9"/>
    <w:rsid w:val="00D970BB"/>
    <w:rPr>
      <w:rFonts w:ascii="Arial" w:eastAsiaTheme="majorEastAsia" w:hAnsi="Arial" w:cs="Arial"/>
      <w:b/>
      <w:lang w:val="en-GB"/>
    </w:rPr>
  </w:style>
  <w:style w:type="paragraph" w:customStyle="1" w:styleId="OCHAnumberedlist">
    <w:name w:val="OCHA numbered list"/>
    <w:basedOn w:val="Normal"/>
    <w:link w:val="OCHAnumberedlistChar"/>
    <w:qFormat/>
    <w:rsid w:val="00222C53"/>
    <w:pPr>
      <w:numPr>
        <w:numId w:val="4"/>
      </w:numPr>
      <w:contextualSpacing/>
    </w:pPr>
    <w:rPr>
      <w:rFonts w:eastAsiaTheme="minorEastAsia"/>
      <w:szCs w:val="20"/>
    </w:rPr>
  </w:style>
  <w:style w:type="character" w:customStyle="1" w:styleId="OCHAnumberedlistChar">
    <w:name w:val="OCHA numbered list Char"/>
    <w:basedOn w:val="DefaultParagraphFont"/>
    <w:link w:val="OCHAnumberedlist"/>
    <w:rsid w:val="00222C53"/>
    <w:rPr>
      <w:rFonts w:ascii="Arial" w:eastAsiaTheme="minorEastAsia" w:hAnsi="Arial" w:cs="Arial"/>
      <w:sz w:val="20"/>
      <w:szCs w:val="20"/>
      <w:lang w:val="en-GB"/>
    </w:rPr>
  </w:style>
  <w:style w:type="table" w:styleId="TableGrid">
    <w:name w:val="Table Grid"/>
    <w:basedOn w:val="TableNormal"/>
    <w:uiPriority w:val="39"/>
    <w:rsid w:val="008413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470B9"/>
    <w:pPr>
      <w:spacing w:after="0" w:line="240" w:lineRule="auto"/>
    </w:pPr>
    <w:rPr>
      <w:rFonts w:eastAsiaTheme="minorEastAsia"/>
    </w:rPr>
  </w:style>
  <w:style w:type="character" w:customStyle="1" w:styleId="NoSpacingChar">
    <w:name w:val="No Spacing Char"/>
    <w:basedOn w:val="DefaultParagraphFont"/>
    <w:link w:val="NoSpacing"/>
    <w:uiPriority w:val="1"/>
    <w:rsid w:val="00A470B9"/>
    <w:rPr>
      <w:rFonts w:eastAsiaTheme="minorEastAsia"/>
    </w:rPr>
  </w:style>
  <w:style w:type="paragraph" w:customStyle="1" w:styleId="OCHAbullet">
    <w:name w:val="OCHA bullet"/>
    <w:basedOn w:val="ListParagraph"/>
    <w:link w:val="OCHAbulletChar"/>
    <w:qFormat/>
    <w:rsid w:val="00A470B9"/>
    <w:pPr>
      <w:numPr>
        <w:numId w:val="11"/>
      </w:numPr>
    </w:pPr>
  </w:style>
  <w:style w:type="character" w:customStyle="1" w:styleId="OCHAbulletChar">
    <w:name w:val="OCHA bullet Char"/>
    <w:basedOn w:val="ListParagraphChar"/>
    <w:link w:val="OCHAbullet"/>
    <w:rsid w:val="00A470B9"/>
    <w:rPr>
      <w:rFonts w:ascii="Arial" w:eastAsiaTheme="minorEastAsia" w:hAnsi="Arial" w:cs="Arial"/>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f1bae91e-3907-439b-bcc8-55e41ee05a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B7C7DF9AA3604DBA9EFFD7647AF866" ma:contentTypeVersion="15" ma:contentTypeDescription="Create a new document." ma:contentTypeScope="" ma:versionID="7ff2ec420e656037f61f48eaede6f3ce">
  <xsd:schema xmlns:xsd="http://www.w3.org/2001/XMLSchema" xmlns:xs="http://www.w3.org/2001/XMLSchema" xmlns:p="http://schemas.microsoft.com/office/2006/metadata/properties" xmlns:ns2="f1bae91e-3907-439b-bcc8-55e41ee05a99" xmlns:ns3="1f53fade-b7a2-46aa-9ff1-583a0afc40b4" targetNamespace="http://schemas.microsoft.com/office/2006/metadata/properties" ma:root="true" ma:fieldsID="decaa93142d5c27ad887bff8ec024d4d" ns2:_="" ns3:_="">
    <xsd:import namespace="f1bae91e-3907-439b-bcc8-55e41ee05a99"/>
    <xsd:import namespace="1f53fade-b7a2-46aa-9ff1-583a0afc40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bae91e-3907-439b-bcc8-55e41ee05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f53fade-b7a2-46aa-9ff1-583a0afc40b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2392FF-AC5E-4567-83F1-CA1CDEBDF805}">
  <ds:schemaRefs>
    <ds:schemaRef ds:uri="http://schemas.microsoft.com/office/2006/metadata/properties"/>
    <ds:schemaRef ds:uri="http://schemas.microsoft.com/office/infopath/2007/PartnerControls"/>
    <ds:schemaRef ds:uri="f1bae91e-3907-439b-bcc8-55e41ee05a99"/>
  </ds:schemaRefs>
</ds:datastoreItem>
</file>

<file path=customXml/itemProps2.xml><?xml version="1.0" encoding="utf-8"?>
<ds:datastoreItem xmlns:ds="http://schemas.openxmlformats.org/officeDocument/2006/customXml" ds:itemID="{CEE8F613-F748-420D-993E-945CA7FAC975}">
  <ds:schemaRefs>
    <ds:schemaRef ds:uri="http://schemas.microsoft.com/sharepoint/v3/contenttype/forms"/>
  </ds:schemaRefs>
</ds:datastoreItem>
</file>

<file path=customXml/itemProps3.xml><?xml version="1.0" encoding="utf-8"?>
<ds:datastoreItem xmlns:ds="http://schemas.openxmlformats.org/officeDocument/2006/customXml" ds:itemID="{3A6F269F-0FB2-4418-B8C7-3761D4F9B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bae91e-3907-439b-bcc8-55e41ee05a99"/>
    <ds:schemaRef ds:uri="1f53fade-b7a2-46aa-9ff1-583a0afc40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Pages>
  <Words>504</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WOODS, David</dc:creator>
  <cp:keywords/>
  <dc:description/>
  <cp:lastModifiedBy>Ashraf Khedr</cp:lastModifiedBy>
  <cp:revision>4</cp:revision>
  <dcterms:created xsi:type="dcterms:W3CDTF">2020-05-04T21:20:00Z</dcterms:created>
  <dcterms:modified xsi:type="dcterms:W3CDTF">2023-02-26T13:28:00Z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0x010100AFB7C7DF9AA3604DBA9EFFD7647AF866</vt:lpwstr>
  </property>
</Properties>
</file>