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798B5" w14:textId="77777777" w:rsidR="002814E6" w:rsidRPr="00886FAF" w:rsidRDefault="007229B0" w:rsidP="007229B0">
      <w:pPr>
        <w:spacing w:after="0" w:line="360" w:lineRule="auto"/>
        <w:rPr>
          <w:rFonts w:asciiTheme="majorHAnsi" w:hAnsiTheme="majorHAnsi" w:cstheme="majorBidi"/>
          <w:b/>
          <w:sz w:val="20"/>
          <w:szCs w:val="20"/>
          <w:u w:val="single"/>
          <w:rtl/>
        </w:rPr>
      </w:pPr>
      <w:r>
        <w:rPr>
          <w:rFonts w:asciiTheme="majorHAnsi" w:hAnsiTheme="majorHAnsi" w:cstheme="majorBidi" w:hint="cs"/>
          <w:b/>
          <w:bCs/>
          <w:sz w:val="20"/>
          <w:szCs w:val="20"/>
          <w:u w:val="single"/>
          <w:rtl/>
        </w:rPr>
        <w:t>الملحق (د):</w:t>
      </w:r>
      <w:r>
        <w:rPr>
          <w:rFonts w:asciiTheme="majorHAnsi" w:hAnsiTheme="majorHAnsi" w:cstheme="majorBidi"/>
          <w:b/>
          <w:bCs/>
          <w:sz w:val="20"/>
          <w:szCs w:val="20"/>
          <w:u w:val="single"/>
        </w:rPr>
        <w:t xml:space="preserve"> </w:t>
      </w:r>
      <w:r>
        <w:rPr>
          <w:rFonts w:asciiTheme="majorHAnsi" w:hAnsiTheme="majorHAnsi" w:cstheme="majorBidi" w:hint="cs"/>
          <w:b/>
          <w:bCs/>
          <w:sz w:val="20"/>
          <w:szCs w:val="20"/>
          <w:u w:val="single"/>
          <w:rtl/>
        </w:rPr>
        <w:t>مذكرة توضيحية بشأن مكتبة المراجع التقنية وملاحظات توجيهية للفريق الاستشاري الدولي للبحث والإنقاذ</w:t>
      </w:r>
      <w:r>
        <w:rPr>
          <w:rFonts w:asciiTheme="majorHAnsi" w:hAnsiTheme="majorHAnsi" w:cstheme="majorBidi"/>
          <w:b/>
          <w:bCs/>
          <w:sz w:val="20"/>
          <w:szCs w:val="20"/>
          <w:u w:val="single"/>
        </w:rPr>
        <w:t xml:space="preserve"> </w:t>
      </w:r>
    </w:p>
    <w:p w14:paraId="59EA5A6D" w14:textId="77777777" w:rsidR="004E3E3A" w:rsidRPr="00886FAF" w:rsidRDefault="004E3E3A" w:rsidP="00FD2657">
      <w:pPr>
        <w:spacing w:after="0" w:line="360" w:lineRule="auto"/>
        <w:ind w:left="720"/>
        <w:jc w:val="center"/>
        <w:rPr>
          <w:rFonts w:asciiTheme="majorHAnsi" w:hAnsiTheme="majorHAnsi" w:cstheme="majorHAnsi"/>
          <w:b/>
          <w:sz w:val="20"/>
          <w:szCs w:val="20"/>
          <w:u w:val="single"/>
        </w:rPr>
      </w:pPr>
    </w:p>
    <w:p w14:paraId="0E9BFF69" w14:textId="77777777" w:rsidR="00D8764B" w:rsidRPr="00886FAF" w:rsidRDefault="006E4BFF" w:rsidP="00FD2657">
      <w:pPr>
        <w:spacing w:after="0" w:line="360" w:lineRule="auto"/>
        <w:jc w:val="both"/>
        <w:rPr>
          <w:rFonts w:asciiTheme="majorHAnsi" w:hAnsiTheme="majorHAnsi" w:cstheme="majorBidi"/>
          <w:b/>
          <w:sz w:val="20"/>
          <w:szCs w:val="20"/>
          <w:u w:val="single"/>
          <w:rtl/>
        </w:rPr>
      </w:pPr>
      <w:r>
        <w:rPr>
          <w:rFonts w:asciiTheme="majorHAnsi" w:hAnsiTheme="majorHAnsi" w:cstheme="majorBidi" w:hint="cs"/>
          <w:b/>
          <w:bCs/>
          <w:sz w:val="20"/>
          <w:szCs w:val="20"/>
          <w:u w:val="single"/>
          <w:rtl/>
        </w:rPr>
        <w:t>الخلفية</w:t>
      </w:r>
    </w:p>
    <w:p w14:paraId="143DB214" w14:textId="0F8A6FB6" w:rsidR="00FD2657" w:rsidRPr="00681F50" w:rsidRDefault="00D8764B" w:rsidP="00681F50">
      <w:pPr>
        <w:spacing w:after="120" w:line="360" w:lineRule="auto"/>
        <w:ind w:firstLine="720"/>
        <w:jc w:val="both"/>
        <w:rPr>
          <w:rFonts w:asciiTheme="majorHAnsi" w:hAnsiTheme="majorHAnsi" w:cstheme="majorBidi"/>
          <w:sz w:val="20"/>
          <w:szCs w:val="24"/>
          <w:rtl/>
        </w:rPr>
      </w:pPr>
      <w:r w:rsidRPr="00681F50">
        <w:rPr>
          <w:rFonts w:asciiTheme="majorHAnsi" w:hAnsiTheme="majorHAnsi" w:cstheme="majorBidi" w:hint="cs"/>
          <w:sz w:val="20"/>
          <w:szCs w:val="24"/>
          <w:rtl/>
        </w:rPr>
        <w:t>تم اتخاذ قرار رئيسي في أثناء اجتماع الفريق التوجيهي</w:t>
      </w:r>
      <w:r w:rsidR="00346CA6" w:rsidRPr="00681F50">
        <w:rPr>
          <w:rStyle w:val="FootnoteReference"/>
          <w:rFonts w:asciiTheme="majorHAnsi" w:hAnsiTheme="majorHAnsi" w:cstheme="majorHAnsi"/>
          <w:sz w:val="20"/>
          <w:szCs w:val="24"/>
        </w:rPr>
        <w:footnoteReference w:id="1"/>
      </w:r>
      <w:r w:rsidRPr="00681F50">
        <w:rPr>
          <w:rFonts w:asciiTheme="majorHAnsi" w:hAnsiTheme="majorHAnsi" w:cstheme="majorBidi" w:hint="cs"/>
          <w:sz w:val="20"/>
          <w:szCs w:val="24"/>
          <w:rtl/>
        </w:rPr>
        <w:t xml:space="preserve"> التابع للفريق الاستشاري الدولي للبحث والإنقاذ المنعقد في عام 2018، ويقتضي هذا القرار أن يطور فريق استعراض المبادئ التوجيهية التابع للفريق الاستشاري الدولي للبحث والإنقاذ لعام 2020، في إطار اختصاصاته، مكتبة المراجع التقنية، التي تمثّل </w:t>
      </w:r>
      <w:r w:rsidR="007332C1" w:rsidRPr="00681F50">
        <w:rPr>
          <w:rFonts w:asciiTheme="majorHAnsi" w:hAnsiTheme="majorHAnsi" w:cstheme="majorBidi" w:hint="cs"/>
          <w:sz w:val="20"/>
          <w:szCs w:val="24"/>
          <w:rtl/>
        </w:rPr>
        <w:t>مستودع</w:t>
      </w:r>
      <w:r w:rsidR="000E7EDC">
        <w:rPr>
          <w:rFonts w:asciiTheme="majorHAnsi" w:hAnsiTheme="majorHAnsi" w:cstheme="majorBidi" w:hint="cs"/>
          <w:sz w:val="20"/>
          <w:szCs w:val="24"/>
          <w:rtl/>
        </w:rPr>
        <w:t>ًا</w:t>
      </w:r>
      <w:r w:rsidR="007332C1" w:rsidRPr="00681F50">
        <w:rPr>
          <w:rFonts w:asciiTheme="majorHAnsi" w:hAnsiTheme="majorHAnsi" w:cstheme="majorBidi" w:hint="cs"/>
          <w:sz w:val="20"/>
          <w:szCs w:val="24"/>
          <w:rtl/>
        </w:rPr>
        <w:t xml:space="preserve"> جديد</w:t>
      </w:r>
      <w:r w:rsidR="000E7EDC">
        <w:rPr>
          <w:rFonts w:asciiTheme="majorHAnsi" w:hAnsiTheme="majorHAnsi" w:cstheme="majorBidi" w:hint="cs"/>
          <w:sz w:val="20"/>
          <w:szCs w:val="24"/>
          <w:rtl/>
        </w:rPr>
        <w:t>ًا</w:t>
      </w:r>
      <w:r w:rsidR="007332C1" w:rsidRPr="00681F50">
        <w:rPr>
          <w:rFonts w:asciiTheme="majorHAnsi" w:hAnsiTheme="majorHAnsi" w:cstheme="majorBidi" w:hint="cs"/>
          <w:sz w:val="20"/>
          <w:szCs w:val="24"/>
          <w:rtl/>
        </w:rPr>
        <w:t xml:space="preserve"> </w:t>
      </w:r>
      <w:r w:rsidRPr="00681F50">
        <w:rPr>
          <w:rFonts w:asciiTheme="majorHAnsi" w:hAnsiTheme="majorHAnsi" w:cstheme="majorBidi" w:hint="cs"/>
          <w:sz w:val="20"/>
          <w:szCs w:val="24"/>
          <w:rtl/>
        </w:rPr>
        <w:t xml:space="preserve">للمعارف على </w:t>
      </w:r>
      <w:r w:rsidRPr="00681F50">
        <w:rPr>
          <w:rFonts w:asciiTheme="majorHAnsi" w:hAnsiTheme="majorHAnsi" w:cstheme="majorBidi"/>
          <w:sz w:val="20"/>
          <w:szCs w:val="24"/>
        </w:rPr>
        <w:t>INSARAG.Org</w:t>
      </w:r>
      <w:r w:rsidRPr="00681F50">
        <w:rPr>
          <w:rFonts w:asciiTheme="majorHAnsi" w:hAnsiTheme="majorHAnsi" w:cstheme="majorBidi" w:hint="cs"/>
          <w:sz w:val="20"/>
          <w:szCs w:val="24"/>
          <w:rtl/>
        </w:rPr>
        <w:t xml:space="preserve"> حيث يتم تحميل كل الممارسات الفضلى ومشاركتها في مجتمع الفريق الاستشاري الدولي للبحث والإنقاذ.</w:t>
      </w:r>
      <w:r w:rsidRPr="00681F50">
        <w:rPr>
          <w:rFonts w:asciiTheme="majorHAnsi" w:hAnsiTheme="majorHAnsi" w:cstheme="majorBidi"/>
          <w:sz w:val="20"/>
          <w:szCs w:val="24"/>
        </w:rPr>
        <w:t xml:space="preserve"> </w:t>
      </w:r>
    </w:p>
    <w:p w14:paraId="069BEEBD" w14:textId="163B6EE9" w:rsidR="004963B5" w:rsidRPr="00681F50" w:rsidRDefault="00D8764B" w:rsidP="00681F50">
      <w:pPr>
        <w:spacing w:after="120" w:line="360" w:lineRule="auto"/>
        <w:jc w:val="both"/>
        <w:rPr>
          <w:rFonts w:asciiTheme="majorHAnsi" w:hAnsiTheme="majorHAnsi" w:cstheme="majorBidi"/>
          <w:sz w:val="20"/>
          <w:szCs w:val="24"/>
          <w:rtl/>
        </w:rPr>
      </w:pPr>
      <w:r w:rsidRPr="00681F50">
        <w:rPr>
          <w:rFonts w:asciiTheme="majorHAnsi" w:hAnsiTheme="majorHAnsi" w:cstheme="majorBidi" w:hint="cs"/>
          <w:sz w:val="20"/>
          <w:szCs w:val="24"/>
          <w:rtl/>
        </w:rPr>
        <w:t>2.</w:t>
      </w:r>
      <w:r w:rsidRPr="00681F50">
        <w:rPr>
          <w:rFonts w:asciiTheme="majorHAnsi" w:hAnsiTheme="majorHAnsi" w:cstheme="majorBidi" w:hint="cs"/>
          <w:sz w:val="20"/>
          <w:szCs w:val="24"/>
          <w:rtl/>
        </w:rPr>
        <w:tab/>
        <w:t>ستقدّم هذه المواد التوجيه لفرق البحث والإنقاذ في المناطق الحضرية بشأن ما لم يُذكر ضمن الحد الأدنى من المتطلبات في المبادئ التوجيهية للفريق الاستشاري الدولي للبحث والإنقاذ.</w:t>
      </w:r>
      <w:r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يكمن اختلاف المواد الموجودة بمكتبة المراجع التقنية في أنها مواد غير إلزامية، بخلاف المبادئ التوجيهية للفريق الاستشاري الدولي للبحث والإنقاذ وغيرها من المواد المعتمدة من الفريق التوجيهي الدولي الموجودة بمذكرة الملاحظات التوجيهية.</w:t>
      </w:r>
      <w:r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 xml:space="preserve">كما أنها ليست </w:t>
      </w:r>
      <w:r w:rsidR="007332C1" w:rsidRPr="00681F50">
        <w:rPr>
          <w:rFonts w:asciiTheme="majorHAnsi" w:hAnsiTheme="majorHAnsi" w:cstheme="majorBidi" w:hint="cs"/>
          <w:sz w:val="20"/>
          <w:szCs w:val="24"/>
          <w:rtl/>
        </w:rPr>
        <w:t>جزء</w:t>
      </w:r>
      <w:r w:rsidR="000E7EDC">
        <w:rPr>
          <w:rFonts w:asciiTheme="majorHAnsi" w:hAnsiTheme="majorHAnsi" w:cstheme="majorBidi" w:hint="cs"/>
          <w:sz w:val="20"/>
          <w:szCs w:val="24"/>
          <w:rtl/>
        </w:rPr>
        <w:t>ًا</w:t>
      </w:r>
      <w:r w:rsidR="007332C1" w:rsidRPr="00681F50">
        <w:rPr>
          <w:rFonts w:asciiTheme="majorHAnsi" w:hAnsiTheme="majorHAnsi" w:cstheme="majorBidi" w:hint="cs"/>
          <w:sz w:val="20"/>
          <w:szCs w:val="24"/>
          <w:rtl/>
        </w:rPr>
        <w:t xml:space="preserve"> </w:t>
      </w:r>
      <w:r w:rsidRPr="00681F50">
        <w:rPr>
          <w:rFonts w:asciiTheme="majorHAnsi" w:hAnsiTheme="majorHAnsi" w:cstheme="majorBidi" w:hint="cs"/>
          <w:sz w:val="20"/>
          <w:szCs w:val="24"/>
          <w:rtl/>
        </w:rPr>
        <w:t>من المبادئ التوجيهية.</w:t>
      </w:r>
      <w:r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 xml:space="preserve">اعتمد الفريق التوجيهي التابع للفريق الاستشاري الدولي للبحث والإنقاذ مفهوم المكتبة </w:t>
      </w:r>
      <w:r w:rsidR="007332C1" w:rsidRPr="00681F50">
        <w:rPr>
          <w:rFonts w:asciiTheme="majorHAnsi" w:hAnsiTheme="majorHAnsi" w:cstheme="majorBidi" w:hint="cs"/>
          <w:sz w:val="20"/>
          <w:szCs w:val="24"/>
          <w:rtl/>
        </w:rPr>
        <w:t>مسترشد</w:t>
      </w:r>
      <w:r w:rsidR="000E7EDC">
        <w:rPr>
          <w:rFonts w:asciiTheme="majorHAnsi" w:hAnsiTheme="majorHAnsi" w:cstheme="majorBidi" w:hint="cs"/>
          <w:sz w:val="20"/>
          <w:szCs w:val="24"/>
          <w:rtl/>
        </w:rPr>
        <w:t>ًا</w:t>
      </w:r>
      <w:r w:rsidR="007332C1" w:rsidRPr="00681F50">
        <w:rPr>
          <w:rFonts w:asciiTheme="majorHAnsi" w:hAnsiTheme="majorHAnsi" w:cstheme="majorBidi" w:hint="cs"/>
          <w:sz w:val="20"/>
          <w:szCs w:val="24"/>
          <w:rtl/>
        </w:rPr>
        <w:t xml:space="preserve"> </w:t>
      </w:r>
      <w:r w:rsidRPr="00681F50">
        <w:rPr>
          <w:rFonts w:asciiTheme="majorHAnsi" w:hAnsiTheme="majorHAnsi" w:cstheme="majorBidi" w:hint="cs"/>
          <w:sz w:val="20"/>
          <w:szCs w:val="24"/>
          <w:rtl/>
        </w:rPr>
        <w:t xml:space="preserve">بإسهامات من الاجتماعات الإقليمية واجتماعات قائد الفريق.  </w:t>
      </w:r>
    </w:p>
    <w:p w14:paraId="6FD349F7" w14:textId="3F29FF05" w:rsidR="004963B5" w:rsidRPr="00681F50" w:rsidRDefault="00BE67C0" w:rsidP="00681F50">
      <w:pPr>
        <w:spacing w:after="120" w:line="360" w:lineRule="auto"/>
        <w:jc w:val="both"/>
        <w:rPr>
          <w:rFonts w:asciiTheme="majorHAnsi" w:hAnsiTheme="majorHAnsi" w:cstheme="majorBidi"/>
          <w:sz w:val="20"/>
          <w:szCs w:val="24"/>
          <w:rtl/>
        </w:rPr>
      </w:pPr>
      <w:r w:rsidRPr="00681F50">
        <w:rPr>
          <w:rFonts w:asciiTheme="majorHAnsi" w:hAnsiTheme="majorHAnsi" w:cstheme="majorBidi" w:hint="cs"/>
          <w:sz w:val="20"/>
          <w:szCs w:val="24"/>
          <w:rtl/>
        </w:rPr>
        <w:t>3.</w:t>
      </w:r>
      <w:r w:rsidRPr="00681F50">
        <w:rPr>
          <w:rFonts w:asciiTheme="majorHAnsi" w:hAnsiTheme="majorHAnsi" w:cstheme="majorBidi" w:hint="cs"/>
          <w:sz w:val="20"/>
          <w:szCs w:val="24"/>
          <w:rtl/>
        </w:rPr>
        <w:tab/>
        <w:t>بالتوازي مع قبول مفهوم مكتبة المراجع التقنية، وافق الفريق التوجيهي التابع للفريق الاستشاري الدولي للبحث والإنقاذ على فصل البنود التالية من المبادئ التوجيهية للفريق الاستشاري الدولي للبحث والإنقاذ:</w:t>
      </w:r>
      <w:r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(1) قوائم التدقيق (مثل قائمة التدقيق الخاصة بالتحقق من برنامج العمل الوطني، وقائمة تدقيق التصنيف/ إعادة التصنيف الخارجي للفريق الاستشاري الدولي للبحث والإنقاذ)، و(2) النماذج، و(3) المجلد الثالث (الدليل الميداني التشغيلي)؛ و(4) الأدلة (مثل دليل تنسيق فرق البحث والإنقاذ في المناطق الحضرية)، ويتم إدراجها تحت قسم "</w:t>
      </w:r>
      <w:r w:rsidR="00900631">
        <w:rPr>
          <w:rFonts w:asciiTheme="majorHAnsi" w:hAnsiTheme="majorHAnsi" w:cstheme="majorBidi" w:hint="cs"/>
          <w:sz w:val="20"/>
          <w:szCs w:val="24"/>
          <w:rtl/>
        </w:rPr>
        <w:t>الملاحظات التوجيهية</w:t>
      </w:r>
      <w:r w:rsidRPr="00681F50">
        <w:rPr>
          <w:rFonts w:asciiTheme="majorHAnsi" w:hAnsiTheme="majorHAnsi" w:cstheme="majorBidi" w:hint="cs"/>
          <w:sz w:val="20"/>
          <w:szCs w:val="24"/>
          <w:rtl/>
        </w:rPr>
        <w:t xml:space="preserve">" على </w:t>
      </w:r>
      <w:r w:rsidRPr="00681F50">
        <w:rPr>
          <w:rFonts w:asciiTheme="majorHAnsi" w:hAnsiTheme="majorHAnsi" w:cstheme="majorBidi"/>
          <w:sz w:val="20"/>
          <w:szCs w:val="24"/>
        </w:rPr>
        <w:t xml:space="preserve">INSARAG.org. </w:t>
      </w:r>
      <w:r w:rsidRPr="00681F50">
        <w:rPr>
          <w:rFonts w:asciiTheme="majorHAnsi" w:hAnsiTheme="majorHAnsi" w:cstheme="majorBidi" w:hint="cs"/>
          <w:sz w:val="20"/>
          <w:szCs w:val="24"/>
          <w:rtl/>
        </w:rPr>
        <w:t xml:space="preserve">وستظل البنود المذكورة أعلاه </w:t>
      </w:r>
      <w:r w:rsidR="007332C1" w:rsidRPr="00681F50">
        <w:rPr>
          <w:rFonts w:asciiTheme="majorHAnsi" w:hAnsiTheme="majorHAnsi" w:cstheme="majorBidi" w:hint="cs"/>
          <w:sz w:val="20"/>
          <w:szCs w:val="24"/>
          <w:rtl/>
        </w:rPr>
        <w:t>جزء</w:t>
      </w:r>
      <w:r w:rsidR="000E7EDC">
        <w:rPr>
          <w:rFonts w:asciiTheme="majorHAnsi" w:hAnsiTheme="majorHAnsi" w:cstheme="majorBidi" w:hint="cs"/>
          <w:sz w:val="20"/>
          <w:szCs w:val="24"/>
          <w:rtl/>
        </w:rPr>
        <w:t>ًا</w:t>
      </w:r>
      <w:r w:rsidR="007332C1" w:rsidRPr="00681F50">
        <w:rPr>
          <w:rFonts w:asciiTheme="majorHAnsi" w:hAnsiTheme="majorHAnsi" w:cstheme="majorBidi" w:hint="cs"/>
          <w:sz w:val="20"/>
          <w:szCs w:val="24"/>
          <w:rtl/>
        </w:rPr>
        <w:t xml:space="preserve"> </w:t>
      </w:r>
      <w:r w:rsidRPr="00681F50">
        <w:rPr>
          <w:rFonts w:asciiTheme="majorHAnsi" w:hAnsiTheme="majorHAnsi" w:cstheme="majorBidi" w:hint="cs"/>
          <w:sz w:val="20"/>
          <w:szCs w:val="24"/>
          <w:rtl/>
        </w:rPr>
        <w:t>لا يتجزأ من المبادئ التوجيهية.</w:t>
      </w:r>
      <w:r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وتم اتخاذ هذه الخطوة لتيسير عملية استعراض/ مراجعة</w:t>
      </w:r>
      <w:r w:rsidR="00346CA6" w:rsidRPr="00681F50">
        <w:rPr>
          <w:rStyle w:val="FootnoteReference"/>
          <w:rFonts w:asciiTheme="majorHAnsi" w:hAnsiTheme="majorHAnsi" w:cstheme="majorHAnsi"/>
          <w:sz w:val="20"/>
          <w:szCs w:val="24"/>
        </w:rPr>
        <w:footnoteReference w:id="2"/>
      </w:r>
      <w:r w:rsidRPr="00681F50">
        <w:rPr>
          <w:rFonts w:asciiTheme="majorHAnsi" w:hAnsiTheme="majorHAnsi" w:cstheme="majorBidi" w:hint="cs"/>
          <w:sz w:val="20"/>
          <w:szCs w:val="24"/>
          <w:rtl/>
        </w:rPr>
        <w:t xml:space="preserve"> المحتوى وجعلها أكثر مرونة وسرعة.</w:t>
      </w:r>
    </w:p>
    <w:p w14:paraId="25611AFF" w14:textId="3BD286EA" w:rsidR="00530FE9" w:rsidRPr="00681F50" w:rsidRDefault="00530FE9" w:rsidP="00681F50">
      <w:pPr>
        <w:spacing w:after="120" w:line="360" w:lineRule="auto"/>
        <w:jc w:val="both"/>
        <w:rPr>
          <w:rFonts w:asciiTheme="majorHAnsi" w:hAnsiTheme="majorHAnsi" w:cstheme="majorBidi"/>
          <w:sz w:val="20"/>
          <w:szCs w:val="24"/>
          <w:rtl/>
        </w:rPr>
      </w:pPr>
      <w:r w:rsidRPr="00681F50">
        <w:rPr>
          <w:rFonts w:asciiTheme="majorHAnsi" w:hAnsiTheme="majorHAnsi" w:cstheme="majorBidi" w:hint="cs"/>
          <w:sz w:val="20"/>
          <w:szCs w:val="24"/>
          <w:rtl/>
        </w:rPr>
        <w:t>4.</w:t>
      </w:r>
      <w:r w:rsidRPr="00681F50">
        <w:rPr>
          <w:rFonts w:asciiTheme="majorHAnsi" w:hAnsiTheme="majorHAnsi" w:cstheme="majorBidi" w:hint="cs"/>
          <w:sz w:val="20"/>
          <w:szCs w:val="24"/>
          <w:rtl/>
        </w:rPr>
        <w:tab/>
        <w:t xml:space="preserve">ارجع إلى </w:t>
      </w:r>
      <w:r w:rsidRPr="00681F50">
        <w:rPr>
          <w:rFonts w:asciiTheme="majorHAnsi" w:hAnsiTheme="majorHAnsi" w:cstheme="majorBidi" w:hint="cs"/>
          <w:b/>
          <w:bCs/>
          <w:sz w:val="20"/>
          <w:szCs w:val="24"/>
          <w:u w:val="single"/>
          <w:rtl/>
        </w:rPr>
        <w:t>الملحق 1</w:t>
      </w:r>
      <w:r w:rsidRPr="00681F50">
        <w:rPr>
          <w:rFonts w:asciiTheme="majorHAnsi" w:hAnsiTheme="majorHAnsi" w:cstheme="majorBidi" w:hint="cs"/>
          <w:sz w:val="20"/>
          <w:szCs w:val="24"/>
          <w:rtl/>
        </w:rPr>
        <w:t xml:space="preserve"> لمزيد من المعلومات بشأن فصل المبادئ التوجيهية للفريق الاستشاري الدولي للبحث والإنقاذ، و</w:t>
      </w:r>
      <w:r w:rsidR="00900631">
        <w:rPr>
          <w:rFonts w:asciiTheme="majorHAnsi" w:hAnsiTheme="majorHAnsi" w:cstheme="majorBidi" w:hint="cs"/>
          <w:sz w:val="20"/>
          <w:szCs w:val="24"/>
          <w:rtl/>
        </w:rPr>
        <w:t>الملاحظات التوجيهية</w:t>
      </w:r>
      <w:r w:rsidRPr="00681F50">
        <w:rPr>
          <w:rFonts w:asciiTheme="majorHAnsi" w:hAnsiTheme="majorHAnsi" w:cstheme="majorBidi" w:hint="cs"/>
          <w:sz w:val="20"/>
          <w:szCs w:val="24"/>
          <w:rtl/>
        </w:rPr>
        <w:t>، وتطوير مكتبة المراجع التقنية</w:t>
      </w:r>
      <w:r w:rsidR="0041127E">
        <w:rPr>
          <w:rFonts w:asciiTheme="majorHAnsi" w:hAnsiTheme="majorHAnsi" w:cstheme="majorBidi" w:hint="cs"/>
          <w:sz w:val="20"/>
          <w:szCs w:val="24"/>
          <w:rtl/>
        </w:rPr>
        <w:t>.</w:t>
      </w:r>
    </w:p>
    <w:p w14:paraId="7C4B243A" w14:textId="77777777" w:rsidR="00D8764B" w:rsidRPr="00681F50" w:rsidRDefault="00D8764B" w:rsidP="00681F50">
      <w:pPr>
        <w:spacing w:before="120" w:after="120" w:line="360" w:lineRule="auto"/>
        <w:jc w:val="both"/>
        <w:rPr>
          <w:rFonts w:asciiTheme="majorHAnsi" w:hAnsiTheme="majorHAnsi" w:cstheme="majorBidi"/>
          <w:b/>
          <w:sz w:val="20"/>
          <w:szCs w:val="24"/>
          <w:u w:val="single"/>
          <w:rtl/>
        </w:rPr>
      </w:pPr>
      <w:r w:rsidRPr="00681F50">
        <w:rPr>
          <w:rFonts w:asciiTheme="majorHAnsi" w:hAnsiTheme="majorHAnsi" w:cstheme="majorBidi" w:hint="cs"/>
          <w:b/>
          <w:bCs/>
          <w:sz w:val="20"/>
          <w:szCs w:val="24"/>
          <w:u w:val="single"/>
          <w:rtl/>
        </w:rPr>
        <w:t>الهدف</w:t>
      </w:r>
    </w:p>
    <w:p w14:paraId="17253C5B" w14:textId="77777777" w:rsidR="00530FE9" w:rsidRPr="00681F50" w:rsidRDefault="00E22B16" w:rsidP="00FD2657">
      <w:pPr>
        <w:spacing w:after="0" w:line="360" w:lineRule="auto"/>
        <w:jc w:val="both"/>
        <w:rPr>
          <w:rFonts w:asciiTheme="majorHAnsi" w:hAnsiTheme="majorHAnsi" w:cstheme="majorBidi"/>
          <w:sz w:val="20"/>
          <w:szCs w:val="24"/>
          <w:rtl/>
        </w:rPr>
      </w:pPr>
      <w:r w:rsidRPr="00681F50">
        <w:rPr>
          <w:rFonts w:asciiTheme="majorHAnsi" w:hAnsiTheme="majorHAnsi" w:cstheme="majorBidi" w:hint="cs"/>
          <w:sz w:val="20"/>
          <w:szCs w:val="24"/>
          <w:rtl/>
        </w:rPr>
        <w:t>5.</w:t>
      </w:r>
      <w:r w:rsidRPr="00681F50">
        <w:rPr>
          <w:rFonts w:asciiTheme="majorHAnsi" w:hAnsiTheme="majorHAnsi" w:cstheme="majorBidi" w:hint="cs"/>
          <w:sz w:val="20"/>
          <w:szCs w:val="24"/>
          <w:rtl/>
        </w:rPr>
        <w:tab/>
        <w:t>تهدف هذه المذكرة إلى الإحاطة بما يلي:</w:t>
      </w:r>
    </w:p>
    <w:p w14:paraId="0A891DAB" w14:textId="168E9F72" w:rsidR="00D8764B" w:rsidRPr="00681F50" w:rsidRDefault="00530FE9" w:rsidP="00530FE9">
      <w:pPr>
        <w:pStyle w:val="ListParagraph"/>
        <w:numPr>
          <w:ilvl w:val="0"/>
          <w:numId w:val="6"/>
        </w:numPr>
        <w:spacing w:after="0" w:line="360" w:lineRule="auto"/>
        <w:jc w:val="both"/>
        <w:rPr>
          <w:rFonts w:asciiTheme="majorHAnsi" w:hAnsiTheme="majorHAnsi" w:cstheme="majorBidi"/>
          <w:sz w:val="20"/>
          <w:szCs w:val="24"/>
          <w:rtl/>
        </w:rPr>
      </w:pPr>
      <w:r w:rsidRPr="00681F50">
        <w:rPr>
          <w:rFonts w:asciiTheme="majorHAnsi" w:hAnsiTheme="majorHAnsi" w:cstheme="majorBidi" w:hint="cs"/>
          <w:sz w:val="20"/>
          <w:szCs w:val="24"/>
          <w:rtl/>
        </w:rPr>
        <w:t>ميزات مكتبة المراجع التقنية و</w:t>
      </w:r>
      <w:r w:rsidR="00900631">
        <w:rPr>
          <w:rFonts w:asciiTheme="majorHAnsi" w:hAnsiTheme="majorHAnsi" w:cstheme="majorBidi" w:hint="cs"/>
          <w:sz w:val="20"/>
          <w:szCs w:val="24"/>
          <w:rtl/>
        </w:rPr>
        <w:t>الملاحظات التوجيهية</w:t>
      </w:r>
      <w:r w:rsidRPr="00681F50">
        <w:rPr>
          <w:rFonts w:asciiTheme="majorHAnsi" w:hAnsiTheme="majorHAnsi" w:cstheme="majorBidi" w:hint="cs"/>
          <w:sz w:val="20"/>
          <w:szCs w:val="24"/>
          <w:rtl/>
        </w:rPr>
        <w:t xml:space="preserve"> الخاصة بالفريق الاستشاري الدولي للبحث والإنقاذ؛</w:t>
      </w:r>
      <w:r w:rsidRPr="00681F50">
        <w:rPr>
          <w:rFonts w:asciiTheme="majorHAnsi" w:hAnsiTheme="majorHAnsi" w:cstheme="majorBidi"/>
          <w:sz w:val="20"/>
          <w:szCs w:val="24"/>
        </w:rPr>
        <w:t xml:space="preserve"> </w:t>
      </w:r>
    </w:p>
    <w:p w14:paraId="4943DBD9" w14:textId="77777777" w:rsidR="00530FE9" w:rsidRPr="00681F50" w:rsidRDefault="00530FE9" w:rsidP="00530FE9">
      <w:pPr>
        <w:pStyle w:val="ListParagraph"/>
        <w:numPr>
          <w:ilvl w:val="0"/>
          <w:numId w:val="6"/>
        </w:numPr>
        <w:spacing w:after="0" w:line="360" w:lineRule="auto"/>
        <w:jc w:val="both"/>
        <w:rPr>
          <w:rFonts w:asciiTheme="majorHAnsi" w:hAnsiTheme="majorHAnsi" w:cstheme="majorBidi"/>
          <w:sz w:val="20"/>
          <w:szCs w:val="24"/>
          <w:rtl/>
        </w:rPr>
      </w:pPr>
      <w:r w:rsidRPr="00681F50">
        <w:rPr>
          <w:rFonts w:asciiTheme="majorHAnsi" w:hAnsiTheme="majorHAnsi" w:cstheme="majorBidi" w:hint="cs"/>
          <w:sz w:val="20"/>
          <w:szCs w:val="24"/>
          <w:rtl/>
        </w:rPr>
        <w:t xml:space="preserve">والمخطط المنقح لصفحة ويب </w:t>
      </w:r>
      <w:r w:rsidRPr="00681F50">
        <w:rPr>
          <w:rFonts w:asciiTheme="majorHAnsi" w:hAnsiTheme="majorHAnsi" w:cstheme="majorBidi"/>
          <w:sz w:val="20"/>
          <w:szCs w:val="24"/>
        </w:rPr>
        <w:t>INSARAG.org</w:t>
      </w:r>
      <w:r w:rsidRPr="00681F50">
        <w:rPr>
          <w:rFonts w:asciiTheme="majorHAnsi" w:hAnsiTheme="majorHAnsi" w:cstheme="majorBidi" w:hint="cs"/>
          <w:sz w:val="20"/>
          <w:szCs w:val="24"/>
          <w:rtl/>
        </w:rPr>
        <w:t>.</w:t>
      </w:r>
    </w:p>
    <w:p w14:paraId="4B55EC8C" w14:textId="77777777" w:rsidR="00D8764B" w:rsidRPr="00681F50" w:rsidRDefault="00D8764B" w:rsidP="00FD2657">
      <w:pPr>
        <w:spacing w:after="0" w:line="360" w:lineRule="auto"/>
        <w:jc w:val="both"/>
        <w:rPr>
          <w:rFonts w:asciiTheme="majorHAnsi" w:hAnsiTheme="majorHAnsi" w:cstheme="majorHAnsi"/>
          <w:sz w:val="20"/>
          <w:szCs w:val="24"/>
        </w:rPr>
      </w:pPr>
    </w:p>
    <w:p w14:paraId="25F7F090" w14:textId="77777777" w:rsidR="00E11F25" w:rsidRPr="00681F50" w:rsidRDefault="00E22B16" w:rsidP="00FD2657">
      <w:pPr>
        <w:spacing w:after="0" w:line="360" w:lineRule="auto"/>
        <w:jc w:val="both"/>
        <w:rPr>
          <w:rFonts w:asciiTheme="majorHAnsi" w:hAnsiTheme="majorHAnsi" w:cstheme="majorBidi"/>
          <w:b/>
          <w:sz w:val="20"/>
          <w:szCs w:val="24"/>
          <w:u w:val="single"/>
          <w:rtl/>
        </w:rPr>
      </w:pPr>
      <w:r w:rsidRPr="00681F50">
        <w:rPr>
          <w:rFonts w:asciiTheme="majorHAnsi" w:hAnsiTheme="majorHAnsi" w:cstheme="majorBidi" w:hint="cs"/>
          <w:b/>
          <w:bCs/>
          <w:sz w:val="20"/>
          <w:szCs w:val="24"/>
          <w:u w:val="single"/>
          <w:rtl/>
        </w:rPr>
        <w:lastRenderedPageBreak/>
        <w:t>ميزات مكتبة المراجع التقنية</w:t>
      </w:r>
    </w:p>
    <w:p w14:paraId="7C2EED95" w14:textId="72584A73" w:rsidR="00530FE9" w:rsidRPr="00681F50" w:rsidRDefault="00E22B16" w:rsidP="00681F50">
      <w:pPr>
        <w:spacing w:after="120" w:line="360" w:lineRule="auto"/>
        <w:jc w:val="both"/>
        <w:rPr>
          <w:rFonts w:asciiTheme="majorHAnsi" w:hAnsiTheme="majorHAnsi" w:cstheme="majorBidi"/>
          <w:sz w:val="20"/>
          <w:szCs w:val="24"/>
          <w:rtl/>
        </w:rPr>
      </w:pPr>
      <w:r w:rsidRPr="00681F50">
        <w:rPr>
          <w:rFonts w:asciiTheme="majorHAnsi" w:hAnsiTheme="majorHAnsi" w:cstheme="majorBidi" w:hint="cs"/>
          <w:sz w:val="20"/>
          <w:szCs w:val="24"/>
          <w:rtl/>
        </w:rPr>
        <w:t>6.</w:t>
      </w:r>
      <w:r w:rsidRPr="00681F50">
        <w:rPr>
          <w:rFonts w:asciiTheme="majorHAnsi" w:hAnsiTheme="majorHAnsi" w:cstheme="majorBidi" w:hint="cs"/>
          <w:sz w:val="20"/>
          <w:szCs w:val="24"/>
          <w:rtl/>
        </w:rPr>
        <w:tab/>
        <w:t xml:space="preserve">ستتوفّر مكتبة المراجع التقنية على صفحة الويب </w:t>
      </w:r>
      <w:r w:rsidRPr="00681F50">
        <w:rPr>
          <w:rFonts w:asciiTheme="majorHAnsi" w:hAnsiTheme="majorHAnsi" w:cstheme="majorBidi"/>
          <w:sz w:val="20"/>
          <w:szCs w:val="24"/>
        </w:rPr>
        <w:t>INSARAG.org</w:t>
      </w:r>
      <w:r w:rsidRPr="00681F50">
        <w:rPr>
          <w:rFonts w:asciiTheme="majorHAnsi" w:hAnsiTheme="majorHAnsi" w:cstheme="majorBidi" w:hint="cs"/>
          <w:sz w:val="20"/>
          <w:szCs w:val="24"/>
          <w:rtl/>
        </w:rPr>
        <w:t>، وسيتم تنظيمها لتعكس المكونات الرئيسية الخمسة للبحث والإنقاذ في المناطق الحضرية.</w:t>
      </w:r>
      <w:r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تعد جميع فرق العمل، مثل فرق التصنيف الخارجي التي خضعت للتصنيف والجاري تصنيفها مؤهلة للمشاركة في هذه الممارسات الفُضلى.</w:t>
      </w:r>
      <w:r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 xml:space="preserve">وسيتمكن مجتمع الفريق الاستشاري الدولي للبحث والإنقاذ الأوسع </w:t>
      </w:r>
      <w:r w:rsidR="007332C1" w:rsidRPr="00681F50">
        <w:rPr>
          <w:rFonts w:asciiTheme="majorHAnsi" w:hAnsiTheme="majorHAnsi" w:cstheme="majorBidi" w:hint="cs"/>
          <w:sz w:val="20"/>
          <w:szCs w:val="24"/>
          <w:rtl/>
        </w:rPr>
        <w:t>نطاق</w:t>
      </w:r>
      <w:r w:rsidR="000E7EDC">
        <w:rPr>
          <w:rFonts w:asciiTheme="majorHAnsi" w:hAnsiTheme="majorHAnsi" w:cstheme="majorBidi" w:hint="cs"/>
          <w:sz w:val="20"/>
          <w:szCs w:val="24"/>
          <w:rtl/>
        </w:rPr>
        <w:t>ًا</w:t>
      </w:r>
      <w:r w:rsidR="007332C1" w:rsidRPr="00681F50">
        <w:rPr>
          <w:rFonts w:asciiTheme="majorHAnsi" w:hAnsiTheme="majorHAnsi" w:cstheme="majorBidi" w:hint="cs"/>
          <w:sz w:val="20"/>
          <w:szCs w:val="24"/>
          <w:rtl/>
        </w:rPr>
        <w:t xml:space="preserve"> </w:t>
      </w:r>
      <w:r w:rsidRPr="00681F50">
        <w:rPr>
          <w:rFonts w:asciiTheme="majorHAnsi" w:hAnsiTheme="majorHAnsi" w:cstheme="majorBidi" w:hint="cs"/>
          <w:sz w:val="20"/>
          <w:szCs w:val="24"/>
          <w:rtl/>
        </w:rPr>
        <w:t>من الوصول إلى نسبة مشاهدة المواد داخل مكتبة المراجع التقنية.</w:t>
      </w:r>
    </w:p>
    <w:p w14:paraId="2C77BBCD" w14:textId="6DA1A348" w:rsidR="006C15C7" w:rsidRPr="00681F50" w:rsidRDefault="006C15C7" w:rsidP="00681F50">
      <w:pPr>
        <w:spacing w:after="120" w:line="360" w:lineRule="auto"/>
        <w:jc w:val="both"/>
        <w:rPr>
          <w:rFonts w:asciiTheme="majorHAnsi" w:hAnsiTheme="majorHAnsi" w:cstheme="majorBidi"/>
          <w:sz w:val="20"/>
          <w:szCs w:val="24"/>
          <w:rtl/>
        </w:rPr>
      </w:pPr>
      <w:r w:rsidRPr="00681F50">
        <w:rPr>
          <w:rFonts w:asciiTheme="majorHAnsi" w:hAnsiTheme="majorHAnsi" w:cstheme="majorBidi" w:hint="cs"/>
          <w:sz w:val="20"/>
          <w:szCs w:val="24"/>
          <w:rtl/>
        </w:rPr>
        <w:t>7.</w:t>
      </w:r>
      <w:r w:rsidRPr="00681F50">
        <w:rPr>
          <w:rFonts w:asciiTheme="majorHAnsi" w:hAnsiTheme="majorHAnsi" w:cstheme="majorBidi" w:hint="cs"/>
          <w:sz w:val="20"/>
          <w:szCs w:val="24"/>
          <w:rtl/>
        </w:rPr>
        <w:tab/>
        <w:t>ستتألف مكتبة المراجع التقنية من ست فئات، أولها "تقرير مراجعة ما بعد العمل للتصنيف/لإعادة التصنيف الخارجي للفريق الاستشاري الدولي للبحث والإنقاذ (</w:t>
      </w:r>
      <w:r w:rsidRPr="00681F50">
        <w:rPr>
          <w:rFonts w:asciiTheme="majorHAnsi" w:hAnsiTheme="majorHAnsi" w:cstheme="majorBidi"/>
          <w:sz w:val="20"/>
          <w:szCs w:val="24"/>
        </w:rPr>
        <w:t>IEC/R AAR)"</w:t>
      </w:r>
      <w:r w:rsidRPr="00681F50">
        <w:rPr>
          <w:rFonts w:asciiTheme="majorHAnsi" w:hAnsiTheme="majorHAnsi" w:cstheme="majorBidi" w:hint="cs"/>
          <w:sz w:val="20"/>
          <w:szCs w:val="24"/>
          <w:rtl/>
        </w:rPr>
        <w:t>، والفئات الخمس</w:t>
      </w:r>
      <w:r w:rsidR="008B316B" w:rsidRPr="00681F50">
        <w:rPr>
          <w:rStyle w:val="FootnoteReference"/>
          <w:rFonts w:asciiTheme="majorHAnsi" w:hAnsiTheme="majorHAnsi" w:cstheme="majorHAnsi"/>
          <w:sz w:val="20"/>
          <w:szCs w:val="24"/>
        </w:rPr>
        <w:footnoteReference w:id="3"/>
      </w:r>
      <w:r w:rsidRPr="00681F50">
        <w:rPr>
          <w:rFonts w:asciiTheme="majorHAnsi" w:hAnsiTheme="majorHAnsi" w:cstheme="majorBidi" w:hint="cs"/>
          <w:sz w:val="20"/>
          <w:szCs w:val="24"/>
          <w:rtl/>
        </w:rPr>
        <w:t xml:space="preserve"> الأخرى المستقاة من المجلد 2 للفريق الاستشاري الدولي للبحث والإنقاذ، المبادئ التوجيهية بالدليل (ب) بعنوان "دورة الاستجابة الدولية للبحث والإنقاذ في المناطق الحضرية":</w:t>
      </w:r>
      <w:r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(1) التأهب، و(2) التعبئة، و(3) العمليات، و(4) التسريح، و(5) مرحلة ما بعد البعثة.</w:t>
      </w:r>
      <w:r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ويهدف المقترح إلى توفير مصطلحات مألوفة للقارئ/ القائم بالتحميل وتسهيل مشاهدة/ تحميل المحتوى المطلوب.</w:t>
      </w:r>
      <w:r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 xml:space="preserve">ارجع إلى </w:t>
      </w:r>
      <w:r w:rsidRPr="00681F50">
        <w:rPr>
          <w:rFonts w:asciiTheme="majorHAnsi" w:hAnsiTheme="majorHAnsi" w:cstheme="majorBidi" w:hint="cs"/>
          <w:b/>
          <w:bCs/>
          <w:sz w:val="20"/>
          <w:szCs w:val="24"/>
          <w:u w:val="single"/>
          <w:rtl/>
        </w:rPr>
        <w:t>الملحق 2</w:t>
      </w:r>
      <w:r w:rsidRPr="00681F50">
        <w:rPr>
          <w:rFonts w:asciiTheme="majorHAnsi" w:hAnsiTheme="majorHAnsi" w:cstheme="majorBidi" w:hint="cs"/>
          <w:sz w:val="20"/>
          <w:szCs w:val="24"/>
          <w:rtl/>
        </w:rPr>
        <w:t xml:space="preserve"> لمزيد من المعلومات بشأن "دورة الاستجابة الدولية للبحث والإنقاذ في المناطق الحضرية".</w:t>
      </w:r>
      <w:r w:rsidRPr="00681F50">
        <w:rPr>
          <w:rFonts w:asciiTheme="majorHAnsi" w:hAnsiTheme="majorHAnsi" w:cstheme="majorBidi"/>
          <w:sz w:val="20"/>
          <w:szCs w:val="24"/>
        </w:rPr>
        <w:t xml:space="preserve"> </w:t>
      </w:r>
    </w:p>
    <w:p w14:paraId="453F5085" w14:textId="402D1956" w:rsidR="00530FE9" w:rsidRPr="00681F50" w:rsidRDefault="00681F50" w:rsidP="00681F50">
      <w:pPr>
        <w:spacing w:after="120" w:line="360" w:lineRule="auto"/>
        <w:jc w:val="both"/>
        <w:rPr>
          <w:rFonts w:asciiTheme="majorHAnsi" w:hAnsiTheme="majorHAnsi" w:cstheme="majorBidi"/>
          <w:spacing w:val="-4"/>
          <w:sz w:val="20"/>
          <w:szCs w:val="24"/>
          <w:rtl/>
        </w:rPr>
      </w:pPr>
      <w:r>
        <w:rPr>
          <w:rFonts w:asciiTheme="majorHAnsi" w:hAnsiTheme="majorHAnsi" w:cstheme="majorBidi" w:hint="cs"/>
          <w:spacing w:val="-4"/>
          <w:sz w:val="20"/>
          <w:szCs w:val="24"/>
          <w:rtl/>
          <w:lang w:bidi="ar-EG"/>
        </w:rPr>
        <w:t>8</w:t>
      </w:r>
      <w:r w:rsidR="00D76097" w:rsidRPr="00681F50">
        <w:rPr>
          <w:rFonts w:asciiTheme="majorHAnsi" w:hAnsiTheme="majorHAnsi" w:cstheme="majorBidi" w:hint="cs"/>
          <w:spacing w:val="-4"/>
          <w:sz w:val="20"/>
          <w:szCs w:val="24"/>
          <w:rtl/>
        </w:rPr>
        <w:t>.</w:t>
      </w:r>
      <w:r w:rsidR="00D76097" w:rsidRPr="00681F50">
        <w:rPr>
          <w:rFonts w:asciiTheme="majorHAnsi" w:hAnsiTheme="majorHAnsi" w:cstheme="majorBidi" w:hint="cs"/>
          <w:spacing w:val="-4"/>
          <w:sz w:val="20"/>
          <w:szCs w:val="24"/>
          <w:rtl/>
        </w:rPr>
        <w:tab/>
        <w:t>يجب على جهة التنسيق التشغيلية المعنية (على الصعيد الوطني) أن تصادق على جميع الطلبات المقدمة من الفريق لضمان مراقبة الجودة.</w:t>
      </w:r>
      <w:r w:rsidR="00D76097" w:rsidRPr="00681F50">
        <w:rPr>
          <w:rFonts w:asciiTheme="majorHAnsi" w:hAnsiTheme="majorHAnsi" w:cstheme="majorBidi"/>
          <w:spacing w:val="-4"/>
          <w:sz w:val="20"/>
          <w:szCs w:val="24"/>
        </w:rPr>
        <w:t xml:space="preserve"> </w:t>
      </w:r>
      <w:r w:rsidR="00D76097" w:rsidRPr="00681F50">
        <w:rPr>
          <w:rFonts w:asciiTheme="majorHAnsi" w:hAnsiTheme="majorHAnsi" w:cstheme="majorBidi" w:hint="cs"/>
          <w:spacing w:val="-4"/>
          <w:sz w:val="20"/>
          <w:szCs w:val="24"/>
          <w:rtl/>
        </w:rPr>
        <w:t>كما سيتعين على جهة التنسيق التشغيلية التشاور مع فريق العمل المعني، التابع للفريق الاستشاري الدولي للبحث والإنقاذ، للحصول على موافقتهم في حال كان الأمر يتعلق بمجال اهتمامهم وخبرتهم ومسؤوليتهم.</w:t>
      </w:r>
      <w:r w:rsidR="00D76097" w:rsidRPr="00681F50">
        <w:rPr>
          <w:rFonts w:asciiTheme="majorHAnsi" w:hAnsiTheme="majorHAnsi" w:cstheme="majorBidi"/>
          <w:spacing w:val="-4"/>
          <w:sz w:val="20"/>
          <w:szCs w:val="24"/>
        </w:rPr>
        <w:t xml:space="preserve"> </w:t>
      </w:r>
      <w:r w:rsidR="00D76097" w:rsidRPr="00681F50">
        <w:rPr>
          <w:rFonts w:asciiTheme="majorHAnsi" w:hAnsiTheme="majorHAnsi" w:cstheme="majorBidi" w:hint="cs"/>
          <w:spacing w:val="-4"/>
          <w:sz w:val="20"/>
          <w:szCs w:val="24"/>
          <w:rtl/>
        </w:rPr>
        <w:t xml:space="preserve">وبإمكان الفرق العاملة المعنية </w:t>
      </w:r>
      <w:r w:rsidR="007332C1" w:rsidRPr="00681F50">
        <w:rPr>
          <w:rFonts w:asciiTheme="majorHAnsi" w:hAnsiTheme="majorHAnsi" w:cstheme="majorBidi" w:hint="cs"/>
          <w:spacing w:val="-4"/>
          <w:sz w:val="20"/>
          <w:szCs w:val="24"/>
          <w:rtl/>
        </w:rPr>
        <w:t>أيض</w:t>
      </w:r>
      <w:r w:rsidR="000E7EDC">
        <w:rPr>
          <w:rFonts w:asciiTheme="majorHAnsi" w:hAnsiTheme="majorHAnsi" w:cstheme="majorBidi" w:hint="cs"/>
          <w:spacing w:val="-4"/>
          <w:sz w:val="20"/>
          <w:szCs w:val="24"/>
          <w:rtl/>
        </w:rPr>
        <w:t>ًا</w:t>
      </w:r>
      <w:r w:rsidR="007332C1" w:rsidRPr="00681F50">
        <w:rPr>
          <w:rFonts w:asciiTheme="majorHAnsi" w:hAnsiTheme="majorHAnsi" w:cstheme="majorBidi" w:hint="cs"/>
          <w:spacing w:val="-4"/>
          <w:sz w:val="20"/>
          <w:szCs w:val="24"/>
          <w:rtl/>
        </w:rPr>
        <w:t xml:space="preserve"> </w:t>
      </w:r>
      <w:r w:rsidR="00D76097" w:rsidRPr="00681F50">
        <w:rPr>
          <w:rFonts w:asciiTheme="majorHAnsi" w:hAnsiTheme="majorHAnsi" w:cstheme="majorBidi" w:hint="cs"/>
          <w:spacing w:val="-4"/>
          <w:sz w:val="20"/>
          <w:szCs w:val="24"/>
          <w:rtl/>
        </w:rPr>
        <w:t>أن تسهم في مكتبة المراجع التقنية بعد موافقة رئيس فريق العمل المعني على وثيقتهم/ مقترحهم.</w:t>
      </w:r>
      <w:r w:rsidR="00D76097" w:rsidRPr="00681F50">
        <w:rPr>
          <w:rFonts w:asciiTheme="majorHAnsi" w:hAnsiTheme="majorHAnsi" w:cstheme="majorBidi"/>
          <w:spacing w:val="-4"/>
          <w:sz w:val="20"/>
          <w:szCs w:val="24"/>
        </w:rPr>
        <w:t xml:space="preserve"> </w:t>
      </w:r>
    </w:p>
    <w:p w14:paraId="203AAAAA" w14:textId="77777777" w:rsidR="008B316B" w:rsidRPr="00681F50" w:rsidRDefault="00D76097" w:rsidP="008B316B">
      <w:pPr>
        <w:spacing w:after="0" w:line="360" w:lineRule="auto"/>
        <w:jc w:val="both"/>
        <w:rPr>
          <w:rFonts w:asciiTheme="majorHAnsi" w:hAnsiTheme="majorHAnsi" w:cstheme="majorBidi"/>
          <w:sz w:val="20"/>
          <w:szCs w:val="24"/>
          <w:rtl/>
        </w:rPr>
      </w:pPr>
      <w:r w:rsidRPr="00681F50">
        <w:rPr>
          <w:rFonts w:asciiTheme="majorHAnsi" w:hAnsiTheme="majorHAnsi" w:cstheme="majorBidi" w:hint="cs"/>
          <w:sz w:val="20"/>
          <w:szCs w:val="24"/>
          <w:rtl/>
        </w:rPr>
        <w:t>9.</w:t>
      </w:r>
      <w:r w:rsidRPr="00681F50">
        <w:rPr>
          <w:rFonts w:asciiTheme="majorHAnsi" w:hAnsiTheme="majorHAnsi" w:cstheme="majorBidi" w:hint="cs"/>
          <w:sz w:val="20"/>
          <w:szCs w:val="24"/>
          <w:rtl/>
        </w:rPr>
        <w:tab/>
        <w:t>سيقوم مكتب الأمم المتحدة لتنسيق الشؤون الإنسانية (</w:t>
      </w:r>
      <w:proofErr w:type="spellStart"/>
      <w:r w:rsidRPr="00681F50">
        <w:rPr>
          <w:rFonts w:asciiTheme="majorHAnsi" w:hAnsiTheme="majorHAnsi" w:cstheme="majorBidi" w:hint="cs"/>
          <w:sz w:val="20"/>
          <w:szCs w:val="24"/>
          <w:rtl/>
        </w:rPr>
        <w:t>أوتشا</w:t>
      </w:r>
      <w:proofErr w:type="spellEnd"/>
      <w:r w:rsidRPr="00681F50">
        <w:rPr>
          <w:rFonts w:asciiTheme="majorHAnsi" w:hAnsiTheme="majorHAnsi" w:cstheme="majorBidi" w:hint="cs"/>
          <w:sz w:val="20"/>
          <w:szCs w:val="24"/>
          <w:rtl/>
        </w:rPr>
        <w:t>) والأمانة العامة للفريق الاستشاري الدولي للبحث والإنقاذ، بإدارة وتيسير مكتبة المراجع التقنية بمساعدة من جهة التنسيق التشغيلية المعنية (على الصعيد الوطني) وفريق العمل التابع للفريق الاستشاري الدولي للبحث والإنقاذ.</w:t>
      </w:r>
    </w:p>
    <w:p w14:paraId="4C0CE358" w14:textId="7887831F" w:rsidR="006511FB" w:rsidRPr="00681F50" w:rsidRDefault="00E22B16" w:rsidP="00681F50">
      <w:pPr>
        <w:spacing w:before="120" w:after="120" w:line="360" w:lineRule="auto"/>
        <w:jc w:val="both"/>
        <w:rPr>
          <w:rFonts w:asciiTheme="majorHAnsi" w:hAnsiTheme="majorHAnsi" w:cstheme="majorBidi"/>
          <w:sz w:val="20"/>
          <w:szCs w:val="24"/>
          <w:rtl/>
        </w:rPr>
      </w:pPr>
      <w:r w:rsidRPr="00681F50">
        <w:rPr>
          <w:rFonts w:asciiTheme="majorHAnsi" w:hAnsiTheme="majorHAnsi" w:cstheme="majorBidi" w:hint="cs"/>
          <w:b/>
          <w:bCs/>
          <w:sz w:val="20"/>
          <w:szCs w:val="24"/>
          <w:u w:val="single"/>
          <w:rtl/>
        </w:rPr>
        <w:t xml:space="preserve">ميزات </w:t>
      </w:r>
      <w:r w:rsidR="00900631">
        <w:rPr>
          <w:rFonts w:asciiTheme="majorHAnsi" w:hAnsiTheme="majorHAnsi" w:cstheme="majorBidi" w:hint="cs"/>
          <w:b/>
          <w:bCs/>
          <w:sz w:val="20"/>
          <w:szCs w:val="24"/>
          <w:u w:val="single"/>
          <w:rtl/>
        </w:rPr>
        <w:t>الملاحظات التوجيهية</w:t>
      </w:r>
      <w:r w:rsidRPr="00681F50">
        <w:rPr>
          <w:rFonts w:asciiTheme="majorHAnsi" w:hAnsiTheme="majorHAnsi" w:cstheme="majorBidi" w:hint="cs"/>
          <w:b/>
          <w:bCs/>
          <w:sz w:val="20"/>
          <w:szCs w:val="24"/>
          <w:u w:val="single"/>
          <w:rtl/>
        </w:rPr>
        <w:t xml:space="preserve"> الخاصة بالفريق الاستشاري الدولي للبحث والإنقاذ</w:t>
      </w:r>
      <w:r w:rsidRPr="00681F50">
        <w:rPr>
          <w:rFonts w:asciiTheme="majorHAnsi" w:hAnsiTheme="majorHAnsi" w:cstheme="majorBidi"/>
          <w:b/>
          <w:bCs/>
          <w:sz w:val="20"/>
          <w:szCs w:val="24"/>
          <w:u w:val="single"/>
        </w:rPr>
        <w:t xml:space="preserve"> </w:t>
      </w:r>
    </w:p>
    <w:p w14:paraId="66C66137" w14:textId="777651C1" w:rsidR="00E22B16" w:rsidRPr="00681F50" w:rsidRDefault="00D76097" w:rsidP="00681F50">
      <w:pPr>
        <w:spacing w:after="120" w:line="360" w:lineRule="auto"/>
        <w:jc w:val="both"/>
        <w:rPr>
          <w:rFonts w:asciiTheme="majorHAnsi" w:hAnsiTheme="majorHAnsi" w:cstheme="majorBidi"/>
          <w:sz w:val="20"/>
          <w:szCs w:val="24"/>
          <w:rtl/>
        </w:rPr>
      </w:pPr>
      <w:r w:rsidRPr="00681F50">
        <w:rPr>
          <w:rFonts w:asciiTheme="majorHAnsi" w:hAnsiTheme="majorHAnsi" w:cstheme="majorBidi" w:hint="cs"/>
          <w:sz w:val="20"/>
          <w:szCs w:val="24"/>
          <w:rtl/>
        </w:rPr>
        <w:t>10.</w:t>
      </w:r>
      <w:r w:rsidRPr="00681F50">
        <w:rPr>
          <w:rFonts w:asciiTheme="majorHAnsi" w:hAnsiTheme="majorHAnsi" w:cstheme="majorBidi" w:hint="cs"/>
          <w:sz w:val="20"/>
          <w:szCs w:val="24"/>
          <w:rtl/>
        </w:rPr>
        <w:tab/>
        <w:t xml:space="preserve">تتألف </w:t>
      </w:r>
      <w:r w:rsidR="00900631">
        <w:rPr>
          <w:rFonts w:asciiTheme="majorHAnsi" w:hAnsiTheme="majorHAnsi" w:cstheme="majorBidi" w:hint="cs"/>
          <w:sz w:val="20"/>
          <w:szCs w:val="24"/>
          <w:rtl/>
        </w:rPr>
        <w:t>الملاحظات التوجيهية</w:t>
      </w:r>
      <w:r w:rsidRPr="00681F50">
        <w:rPr>
          <w:rFonts w:asciiTheme="majorHAnsi" w:hAnsiTheme="majorHAnsi" w:cstheme="majorBidi" w:hint="cs"/>
          <w:sz w:val="20"/>
          <w:szCs w:val="24"/>
          <w:rtl/>
        </w:rPr>
        <w:t xml:space="preserve"> من </w:t>
      </w:r>
      <w:proofErr w:type="gramStart"/>
      <w:r w:rsidRPr="00681F50">
        <w:rPr>
          <w:rFonts w:asciiTheme="majorHAnsi" w:hAnsiTheme="majorHAnsi" w:cstheme="majorBidi" w:hint="cs"/>
          <w:sz w:val="20"/>
          <w:szCs w:val="24"/>
          <w:rtl/>
        </w:rPr>
        <w:t>ثلاثة</w:t>
      </w:r>
      <w:proofErr w:type="gramEnd"/>
      <w:r w:rsidRPr="00681F50">
        <w:rPr>
          <w:rFonts w:asciiTheme="majorHAnsi" w:hAnsiTheme="majorHAnsi" w:cstheme="majorBidi" w:hint="cs"/>
          <w:sz w:val="20"/>
          <w:szCs w:val="24"/>
          <w:rtl/>
        </w:rPr>
        <w:t xml:space="preserve"> مكونات رئيسية إلزامية للفريق الاستشاري الدولي للبحث والإنقاذ.</w:t>
      </w:r>
      <w:r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 xml:space="preserve">وعليه، يجب أن يوافق الفريق التوجيهي التابع للفريق الاستشاري الدولي للبحث والإنقاذ على أي تعديلات أو تغييرات مقترحة على أي مواد تندرج ضمن </w:t>
      </w:r>
      <w:r w:rsidR="00900631">
        <w:rPr>
          <w:rFonts w:asciiTheme="majorHAnsi" w:hAnsiTheme="majorHAnsi" w:cstheme="majorBidi" w:hint="cs"/>
          <w:sz w:val="20"/>
          <w:szCs w:val="24"/>
          <w:rtl/>
        </w:rPr>
        <w:t>الملاحظات التوجيهية</w:t>
      </w:r>
      <w:r w:rsidRPr="00681F50">
        <w:rPr>
          <w:rFonts w:asciiTheme="majorHAnsi" w:hAnsiTheme="majorHAnsi" w:cstheme="majorBidi" w:hint="cs"/>
          <w:sz w:val="20"/>
          <w:szCs w:val="24"/>
          <w:rtl/>
        </w:rPr>
        <w:t xml:space="preserve"> قبل السماح بتحميل المراجعة على </w:t>
      </w:r>
      <w:r w:rsidRPr="00681F50">
        <w:rPr>
          <w:rFonts w:asciiTheme="majorHAnsi" w:hAnsiTheme="majorHAnsi" w:cstheme="majorBidi"/>
          <w:sz w:val="20"/>
          <w:szCs w:val="24"/>
        </w:rPr>
        <w:t>INSARAG.Org</w:t>
      </w:r>
      <w:r w:rsidRPr="00681F50">
        <w:rPr>
          <w:rFonts w:asciiTheme="majorHAnsi" w:hAnsiTheme="majorHAnsi" w:cstheme="majorBidi" w:hint="cs"/>
          <w:sz w:val="20"/>
          <w:szCs w:val="24"/>
          <w:rtl/>
        </w:rPr>
        <w:t>.</w:t>
      </w:r>
      <w:r w:rsidRPr="00681F50">
        <w:rPr>
          <w:rFonts w:asciiTheme="majorHAnsi" w:hAnsiTheme="majorHAnsi" w:cstheme="majorBidi"/>
          <w:sz w:val="20"/>
          <w:szCs w:val="24"/>
        </w:rPr>
        <w:t xml:space="preserve"> </w:t>
      </w:r>
    </w:p>
    <w:p w14:paraId="1CF7676D" w14:textId="112B4F35" w:rsidR="00E22B16" w:rsidRPr="00681F50" w:rsidRDefault="00D76097" w:rsidP="00681F50">
      <w:pPr>
        <w:spacing w:after="120" w:line="360" w:lineRule="auto"/>
        <w:jc w:val="both"/>
        <w:rPr>
          <w:rFonts w:asciiTheme="majorHAnsi" w:hAnsiTheme="majorHAnsi" w:cstheme="majorBidi"/>
          <w:spacing w:val="-4"/>
          <w:sz w:val="20"/>
          <w:szCs w:val="24"/>
          <w:rtl/>
        </w:rPr>
      </w:pPr>
      <w:r w:rsidRPr="00681F50">
        <w:rPr>
          <w:rFonts w:asciiTheme="majorHAnsi" w:hAnsiTheme="majorHAnsi" w:cstheme="majorBidi" w:hint="cs"/>
          <w:spacing w:val="-4"/>
          <w:sz w:val="20"/>
          <w:szCs w:val="24"/>
          <w:rtl/>
        </w:rPr>
        <w:t>11.</w:t>
      </w:r>
      <w:r w:rsidRPr="00681F50">
        <w:rPr>
          <w:rFonts w:asciiTheme="majorHAnsi" w:hAnsiTheme="majorHAnsi" w:cstheme="majorBidi" w:hint="cs"/>
          <w:spacing w:val="-4"/>
          <w:sz w:val="20"/>
          <w:szCs w:val="24"/>
          <w:rtl/>
        </w:rPr>
        <w:tab/>
        <w:t xml:space="preserve">يتمثّل المكوّن الرئيسي الأول في المواد ذات الصلة مثل النماذج أو الملاحق التي تُشكِّل </w:t>
      </w:r>
      <w:r w:rsidR="007332C1" w:rsidRPr="00681F50">
        <w:rPr>
          <w:rFonts w:asciiTheme="majorHAnsi" w:hAnsiTheme="majorHAnsi" w:cstheme="majorBidi" w:hint="cs"/>
          <w:spacing w:val="-4"/>
          <w:sz w:val="20"/>
          <w:szCs w:val="24"/>
          <w:rtl/>
        </w:rPr>
        <w:t>جزء</w:t>
      </w:r>
      <w:r w:rsidR="000E7EDC">
        <w:rPr>
          <w:rFonts w:asciiTheme="majorHAnsi" w:hAnsiTheme="majorHAnsi" w:cstheme="majorBidi" w:hint="cs"/>
          <w:spacing w:val="-4"/>
          <w:sz w:val="20"/>
          <w:szCs w:val="24"/>
          <w:rtl/>
        </w:rPr>
        <w:t>ًا</w:t>
      </w:r>
      <w:r w:rsidR="007332C1" w:rsidRPr="00681F50">
        <w:rPr>
          <w:rFonts w:asciiTheme="majorHAnsi" w:hAnsiTheme="majorHAnsi" w:cstheme="majorBidi" w:hint="cs"/>
          <w:spacing w:val="-4"/>
          <w:sz w:val="20"/>
          <w:szCs w:val="24"/>
          <w:rtl/>
        </w:rPr>
        <w:t xml:space="preserve"> </w:t>
      </w:r>
      <w:r w:rsidRPr="00681F50">
        <w:rPr>
          <w:rFonts w:asciiTheme="majorHAnsi" w:hAnsiTheme="majorHAnsi" w:cstheme="majorBidi" w:hint="cs"/>
          <w:spacing w:val="-4"/>
          <w:sz w:val="20"/>
          <w:szCs w:val="24"/>
          <w:rtl/>
        </w:rPr>
        <w:t>من المجلدات المتعددة للمبادئ التوجيهية المعتمدة.</w:t>
      </w:r>
      <w:r w:rsidRPr="00681F50">
        <w:rPr>
          <w:rFonts w:asciiTheme="majorHAnsi" w:hAnsiTheme="majorHAnsi" w:cstheme="majorBidi"/>
          <w:spacing w:val="-4"/>
          <w:sz w:val="20"/>
          <w:szCs w:val="24"/>
        </w:rPr>
        <w:t xml:space="preserve"> </w:t>
      </w:r>
      <w:r w:rsidRPr="00681F50">
        <w:rPr>
          <w:rFonts w:asciiTheme="majorHAnsi" w:hAnsiTheme="majorHAnsi" w:cstheme="majorBidi" w:hint="cs"/>
          <w:spacing w:val="-4"/>
          <w:sz w:val="20"/>
          <w:szCs w:val="24"/>
          <w:rtl/>
        </w:rPr>
        <w:t xml:space="preserve">على الرغم من ذلك، من المُهم ملاحظة أنه لا يتعين وضع جميع ملاحق المجلدات في </w:t>
      </w:r>
      <w:r w:rsidR="00900631">
        <w:rPr>
          <w:rFonts w:asciiTheme="majorHAnsi" w:hAnsiTheme="majorHAnsi" w:cstheme="majorBidi" w:hint="cs"/>
          <w:spacing w:val="-4"/>
          <w:sz w:val="20"/>
          <w:szCs w:val="24"/>
          <w:rtl/>
        </w:rPr>
        <w:t>الملاحظات التوجيهية</w:t>
      </w:r>
      <w:r w:rsidRPr="00681F50">
        <w:rPr>
          <w:rFonts w:asciiTheme="majorHAnsi" w:hAnsiTheme="majorHAnsi" w:cstheme="majorBidi" w:hint="cs"/>
          <w:spacing w:val="-4"/>
          <w:sz w:val="20"/>
          <w:szCs w:val="24"/>
          <w:rtl/>
        </w:rPr>
        <w:t>.</w:t>
      </w:r>
      <w:r w:rsidRPr="00681F50">
        <w:rPr>
          <w:rFonts w:asciiTheme="majorHAnsi" w:hAnsiTheme="majorHAnsi" w:cstheme="majorBidi"/>
          <w:spacing w:val="-4"/>
          <w:sz w:val="20"/>
          <w:szCs w:val="24"/>
        </w:rPr>
        <w:t xml:space="preserve"> </w:t>
      </w:r>
      <w:r w:rsidRPr="00681F50">
        <w:rPr>
          <w:rFonts w:asciiTheme="majorHAnsi" w:hAnsiTheme="majorHAnsi" w:cstheme="majorBidi" w:hint="cs"/>
          <w:spacing w:val="-4"/>
          <w:sz w:val="20"/>
          <w:szCs w:val="24"/>
          <w:rtl/>
        </w:rPr>
        <w:t xml:space="preserve">يجب أن تظل الملاحق ذات الصلة </w:t>
      </w:r>
      <w:r w:rsidR="007332C1" w:rsidRPr="00681F50">
        <w:rPr>
          <w:rFonts w:asciiTheme="majorHAnsi" w:hAnsiTheme="majorHAnsi" w:cstheme="majorBidi" w:hint="cs"/>
          <w:spacing w:val="-4"/>
          <w:sz w:val="20"/>
          <w:szCs w:val="24"/>
          <w:rtl/>
        </w:rPr>
        <w:t>جزء</w:t>
      </w:r>
      <w:r w:rsidR="000E7EDC">
        <w:rPr>
          <w:rFonts w:asciiTheme="majorHAnsi" w:hAnsiTheme="majorHAnsi" w:cstheme="majorBidi" w:hint="cs"/>
          <w:spacing w:val="-4"/>
          <w:sz w:val="20"/>
          <w:szCs w:val="24"/>
          <w:rtl/>
        </w:rPr>
        <w:t>ًا</w:t>
      </w:r>
      <w:r w:rsidR="007332C1" w:rsidRPr="00681F50">
        <w:rPr>
          <w:rFonts w:asciiTheme="majorHAnsi" w:hAnsiTheme="majorHAnsi" w:cstheme="majorBidi" w:hint="cs"/>
          <w:spacing w:val="-4"/>
          <w:sz w:val="20"/>
          <w:szCs w:val="24"/>
          <w:rtl/>
        </w:rPr>
        <w:t xml:space="preserve"> </w:t>
      </w:r>
      <w:r w:rsidRPr="00681F50">
        <w:rPr>
          <w:rFonts w:asciiTheme="majorHAnsi" w:hAnsiTheme="majorHAnsi" w:cstheme="majorBidi" w:hint="cs"/>
          <w:spacing w:val="-4"/>
          <w:sz w:val="20"/>
          <w:szCs w:val="24"/>
          <w:rtl/>
        </w:rPr>
        <w:t xml:space="preserve">من المجلدات لتوفّر </w:t>
      </w:r>
      <w:r w:rsidR="007332C1" w:rsidRPr="00681F50">
        <w:rPr>
          <w:rFonts w:asciiTheme="majorHAnsi" w:hAnsiTheme="majorHAnsi" w:cstheme="majorBidi" w:hint="cs"/>
          <w:spacing w:val="-4"/>
          <w:sz w:val="20"/>
          <w:szCs w:val="24"/>
          <w:rtl/>
        </w:rPr>
        <w:t>قدر</w:t>
      </w:r>
      <w:r w:rsidR="000E7EDC">
        <w:rPr>
          <w:rFonts w:asciiTheme="majorHAnsi" w:hAnsiTheme="majorHAnsi" w:cstheme="majorBidi" w:hint="cs"/>
          <w:spacing w:val="-4"/>
          <w:sz w:val="20"/>
          <w:szCs w:val="24"/>
          <w:rtl/>
        </w:rPr>
        <w:t>ًا</w:t>
      </w:r>
      <w:r w:rsidR="007332C1" w:rsidRPr="00681F50">
        <w:rPr>
          <w:rFonts w:asciiTheme="majorHAnsi" w:hAnsiTheme="majorHAnsi" w:cstheme="majorBidi" w:hint="cs"/>
          <w:spacing w:val="-4"/>
          <w:sz w:val="20"/>
          <w:szCs w:val="24"/>
          <w:rtl/>
        </w:rPr>
        <w:t xml:space="preserve"> </w:t>
      </w:r>
      <w:r w:rsidRPr="00681F50">
        <w:rPr>
          <w:rFonts w:asciiTheme="majorHAnsi" w:hAnsiTheme="majorHAnsi" w:cstheme="majorBidi" w:hint="cs"/>
          <w:spacing w:val="-4"/>
          <w:sz w:val="20"/>
          <w:szCs w:val="24"/>
          <w:rtl/>
        </w:rPr>
        <w:t>أكبر من الوضوح والمرجعية والفهم.</w:t>
      </w:r>
      <w:r w:rsidRPr="00681F50">
        <w:rPr>
          <w:rFonts w:asciiTheme="majorHAnsi" w:hAnsiTheme="majorHAnsi" w:cstheme="majorBidi"/>
          <w:spacing w:val="-4"/>
          <w:sz w:val="20"/>
          <w:szCs w:val="24"/>
        </w:rPr>
        <w:t xml:space="preserve"> </w:t>
      </w:r>
    </w:p>
    <w:p w14:paraId="021A5021" w14:textId="6C0465E5" w:rsidR="006511FB" w:rsidRPr="00681F50" w:rsidRDefault="00D76097" w:rsidP="00681F50">
      <w:pPr>
        <w:spacing w:after="120" w:line="360" w:lineRule="auto"/>
        <w:jc w:val="both"/>
        <w:rPr>
          <w:rFonts w:asciiTheme="majorHAnsi" w:hAnsiTheme="majorHAnsi" w:cstheme="majorBidi"/>
          <w:sz w:val="20"/>
          <w:szCs w:val="24"/>
          <w:rtl/>
        </w:rPr>
      </w:pPr>
      <w:r w:rsidRPr="00681F50">
        <w:rPr>
          <w:rFonts w:asciiTheme="majorHAnsi" w:hAnsiTheme="majorHAnsi" w:cstheme="majorBidi" w:hint="cs"/>
          <w:sz w:val="20"/>
          <w:szCs w:val="24"/>
          <w:rtl/>
        </w:rPr>
        <w:t>12.</w:t>
      </w:r>
      <w:r w:rsidRPr="00681F50">
        <w:rPr>
          <w:rFonts w:asciiTheme="majorHAnsi" w:hAnsiTheme="majorHAnsi" w:cstheme="majorBidi" w:hint="cs"/>
          <w:sz w:val="20"/>
          <w:szCs w:val="24"/>
          <w:rtl/>
        </w:rPr>
        <w:tab/>
        <w:t xml:space="preserve">يتمثل المكوّن الرئيسي الثاني في قوائم التدقيق الخاصة بالتصنيف الخارجي للفريق الاستشاري الدولي للبحث والإنقاذ وإعادة التصنيف الخارجي للفريق الاستشاري الدولي للبحث والإنقاذ التي تحتاج الفرق إلى استخدامها لتجهيز </w:t>
      </w:r>
      <w:r w:rsidR="005517F3" w:rsidRPr="00681F50">
        <w:rPr>
          <w:rFonts w:asciiTheme="majorHAnsi" w:hAnsiTheme="majorHAnsi" w:cstheme="majorBidi" w:hint="cs"/>
          <w:sz w:val="20"/>
          <w:szCs w:val="24"/>
          <w:rtl/>
        </w:rPr>
        <w:t>أنفسه</w:t>
      </w:r>
      <w:r w:rsidR="005517F3">
        <w:rPr>
          <w:rFonts w:asciiTheme="majorHAnsi" w:hAnsiTheme="majorHAnsi" w:cstheme="majorBidi" w:hint="cs"/>
          <w:sz w:val="20"/>
          <w:szCs w:val="24"/>
          <w:rtl/>
        </w:rPr>
        <w:t>ا</w:t>
      </w:r>
      <w:r w:rsidR="005517F3" w:rsidRPr="00681F50">
        <w:rPr>
          <w:rFonts w:asciiTheme="majorHAnsi" w:hAnsiTheme="majorHAnsi" w:cstheme="majorBidi" w:hint="cs"/>
          <w:sz w:val="20"/>
          <w:szCs w:val="24"/>
          <w:rtl/>
        </w:rPr>
        <w:t xml:space="preserve"> </w:t>
      </w:r>
      <w:r w:rsidRPr="00681F50">
        <w:rPr>
          <w:rFonts w:asciiTheme="majorHAnsi" w:hAnsiTheme="majorHAnsi" w:cstheme="majorBidi" w:hint="cs"/>
          <w:sz w:val="20"/>
          <w:szCs w:val="24"/>
          <w:rtl/>
        </w:rPr>
        <w:t>لعمليتي التصنيف وإعادة التصنيف الخارجيتين.</w:t>
      </w:r>
      <w:r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ستتوفر ست قوائم تدقيق حتى ترجع الفرق إليها:</w:t>
      </w:r>
      <w:r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 xml:space="preserve">(1) التصنيف الخارجي للفريق الاستشاري الدولي للبحث والإنقاذ وفق المستوى الخفيف، (2) إعادة التصنيف الخارجي للفريق الاستشاري </w:t>
      </w:r>
      <w:r w:rsidRPr="00681F50">
        <w:rPr>
          <w:rFonts w:asciiTheme="majorHAnsi" w:hAnsiTheme="majorHAnsi" w:cstheme="majorBidi" w:hint="cs"/>
          <w:sz w:val="20"/>
          <w:szCs w:val="24"/>
          <w:rtl/>
        </w:rPr>
        <w:lastRenderedPageBreak/>
        <w:t>الدولي للبحث والإنقاذ وفق المستوى الخفيف</w:t>
      </w:r>
      <w:r w:rsidR="000A6D16">
        <w:rPr>
          <w:rFonts w:asciiTheme="majorHAnsi" w:hAnsiTheme="majorHAnsi" w:cstheme="majorBidi" w:hint="cs"/>
          <w:sz w:val="20"/>
          <w:szCs w:val="24"/>
          <w:rtl/>
        </w:rPr>
        <w:t>،</w:t>
      </w:r>
      <w:r w:rsidR="000A6D16"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(3) التصنيف الخارجي للفريق الاستشاري الدولي للبحث والإنقاذ وفق المستوى المتوسط، (4) إعادة التصنيف الخارجي للفريق الاستشاري الدولي للبحث والإنقاذ وفق المستوى المتوسط، (5) التصنيف الخارجي للفريق الاستشاري الدولي للبحث والإنقاذ وفق المستوى الكثيف وإعادة التصنيف الخارجي للفريق الاستشاري الدولي للبحث والإنقاذ وفق المستوى الكثيف.</w:t>
      </w:r>
      <w:r w:rsidRPr="00681F50">
        <w:rPr>
          <w:rFonts w:asciiTheme="majorHAnsi" w:hAnsiTheme="majorHAnsi" w:cstheme="majorBidi"/>
          <w:sz w:val="20"/>
          <w:szCs w:val="24"/>
        </w:rPr>
        <w:t xml:space="preserve"> </w:t>
      </w:r>
    </w:p>
    <w:p w14:paraId="5456958A" w14:textId="458A52A2" w:rsidR="006511FB" w:rsidRPr="00681F50" w:rsidRDefault="00D76097" w:rsidP="00E22B16">
      <w:pPr>
        <w:spacing w:after="0" w:line="360" w:lineRule="auto"/>
        <w:jc w:val="both"/>
        <w:rPr>
          <w:rFonts w:asciiTheme="majorHAnsi" w:hAnsiTheme="majorHAnsi" w:cstheme="majorBidi"/>
          <w:sz w:val="20"/>
          <w:szCs w:val="24"/>
          <w:rtl/>
        </w:rPr>
      </w:pPr>
      <w:r w:rsidRPr="00681F50">
        <w:rPr>
          <w:rFonts w:asciiTheme="majorHAnsi" w:hAnsiTheme="majorHAnsi" w:cstheme="majorBidi" w:hint="cs"/>
          <w:sz w:val="20"/>
          <w:szCs w:val="24"/>
          <w:rtl/>
        </w:rPr>
        <w:t>13.</w:t>
      </w:r>
      <w:r w:rsidRPr="00681F50">
        <w:rPr>
          <w:rFonts w:asciiTheme="majorHAnsi" w:hAnsiTheme="majorHAnsi" w:cstheme="majorBidi" w:hint="cs"/>
          <w:sz w:val="20"/>
          <w:szCs w:val="24"/>
          <w:rtl/>
        </w:rPr>
        <w:tab/>
        <w:t xml:space="preserve">يتمثل المكوّن الأخير الذي سيتم إدراجه في </w:t>
      </w:r>
      <w:r w:rsidR="00900631">
        <w:rPr>
          <w:rFonts w:asciiTheme="majorHAnsi" w:hAnsiTheme="majorHAnsi" w:cstheme="majorBidi" w:hint="cs"/>
          <w:sz w:val="20"/>
          <w:szCs w:val="24"/>
          <w:rtl/>
        </w:rPr>
        <w:t>الملاحظات التوجيهية</w:t>
      </w:r>
      <w:r w:rsidRPr="00681F50">
        <w:rPr>
          <w:rFonts w:asciiTheme="majorHAnsi" w:hAnsiTheme="majorHAnsi" w:cstheme="majorBidi" w:hint="cs"/>
          <w:sz w:val="20"/>
          <w:szCs w:val="24"/>
          <w:rtl/>
        </w:rPr>
        <w:t xml:space="preserve"> في الأدلة المعتمدة الخاصة بالفريق التوجيهي التابع للفريق الاستشاري الدولي للبحث والإنقاذ.</w:t>
      </w:r>
      <w:r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وتكمن الأمثلة في أدلة تنسيق فرق البحث والإنقاذ في المناطق الحضرية وعملية الاعتماد الوطني/ عملية الاعتماد الوطني المعترف بها من الفريق الاستشاري الدولي للبحث والإنقاذ.</w:t>
      </w:r>
    </w:p>
    <w:p w14:paraId="4151B404" w14:textId="555A2C2A" w:rsidR="00910731" w:rsidRPr="00681F50" w:rsidRDefault="00D76097" w:rsidP="00530FE9">
      <w:pPr>
        <w:spacing w:after="0" w:line="360" w:lineRule="auto"/>
        <w:jc w:val="both"/>
        <w:rPr>
          <w:rFonts w:asciiTheme="majorHAnsi" w:hAnsiTheme="majorHAnsi" w:cstheme="majorBidi"/>
          <w:sz w:val="20"/>
          <w:szCs w:val="24"/>
          <w:rtl/>
        </w:rPr>
      </w:pPr>
      <w:r w:rsidRPr="00681F50">
        <w:rPr>
          <w:rFonts w:asciiTheme="majorHAnsi" w:hAnsiTheme="majorHAnsi" w:cstheme="majorBidi" w:hint="cs"/>
          <w:sz w:val="20"/>
          <w:szCs w:val="24"/>
          <w:rtl/>
        </w:rPr>
        <w:t>14.</w:t>
      </w:r>
      <w:r w:rsidRPr="00681F50">
        <w:rPr>
          <w:rFonts w:asciiTheme="majorHAnsi" w:hAnsiTheme="majorHAnsi" w:cstheme="majorBidi" w:hint="cs"/>
          <w:sz w:val="20"/>
          <w:szCs w:val="24"/>
          <w:rtl/>
        </w:rPr>
        <w:tab/>
        <w:t xml:space="preserve">لضمان الاتساق في هذا الصدد، ستُعاد تسمية جميع مذكرات المبادئ التوجيهية في موقع </w:t>
      </w:r>
      <w:r w:rsidRPr="00681F50">
        <w:rPr>
          <w:rFonts w:asciiTheme="majorHAnsi" w:hAnsiTheme="majorHAnsi" w:cstheme="majorBidi"/>
          <w:sz w:val="20"/>
          <w:szCs w:val="24"/>
        </w:rPr>
        <w:t>INSARAG.org</w:t>
      </w:r>
      <w:r w:rsidRPr="00681F50">
        <w:rPr>
          <w:rFonts w:asciiTheme="majorHAnsi" w:hAnsiTheme="majorHAnsi" w:cstheme="majorBidi" w:hint="cs"/>
          <w:sz w:val="20"/>
          <w:szCs w:val="24"/>
          <w:rtl/>
        </w:rPr>
        <w:t xml:space="preserve"> الحالي (مثل التي يصدرها فريق العمل الطبي)، والتي لا تُعد </w:t>
      </w:r>
      <w:r w:rsidR="007332C1" w:rsidRPr="00681F50">
        <w:rPr>
          <w:rFonts w:asciiTheme="majorHAnsi" w:hAnsiTheme="majorHAnsi" w:cstheme="majorBidi" w:hint="cs"/>
          <w:sz w:val="20"/>
          <w:szCs w:val="24"/>
          <w:rtl/>
        </w:rPr>
        <w:t>جزء</w:t>
      </w:r>
      <w:r w:rsidR="000E7EDC">
        <w:rPr>
          <w:rFonts w:asciiTheme="majorHAnsi" w:hAnsiTheme="majorHAnsi" w:cstheme="majorBidi" w:hint="cs"/>
          <w:sz w:val="20"/>
          <w:szCs w:val="24"/>
          <w:rtl/>
        </w:rPr>
        <w:t>ًا</w:t>
      </w:r>
      <w:r w:rsidR="007332C1" w:rsidRPr="00681F50">
        <w:rPr>
          <w:rFonts w:asciiTheme="majorHAnsi" w:hAnsiTheme="majorHAnsi" w:cstheme="majorBidi" w:hint="cs"/>
          <w:sz w:val="20"/>
          <w:szCs w:val="24"/>
          <w:rtl/>
        </w:rPr>
        <w:t xml:space="preserve"> </w:t>
      </w:r>
      <w:r w:rsidRPr="00681F50">
        <w:rPr>
          <w:rFonts w:asciiTheme="majorHAnsi" w:hAnsiTheme="majorHAnsi" w:cstheme="majorBidi" w:hint="cs"/>
          <w:sz w:val="20"/>
          <w:szCs w:val="24"/>
          <w:rtl/>
        </w:rPr>
        <w:t>من المبادئ التوجيهية، لتصبح "المذكرات المرجعية" وسيتم نقلها إلى مكتبة المراجع التقنية.</w:t>
      </w:r>
      <w:r w:rsidRPr="00681F50">
        <w:rPr>
          <w:rFonts w:asciiTheme="majorHAnsi" w:hAnsiTheme="majorHAnsi" w:cstheme="majorBidi"/>
          <w:sz w:val="20"/>
          <w:szCs w:val="24"/>
        </w:rPr>
        <w:t xml:space="preserve"> </w:t>
      </w:r>
    </w:p>
    <w:p w14:paraId="52E6A323" w14:textId="77777777" w:rsidR="008A54AB" w:rsidRPr="00681F50" w:rsidRDefault="008A54AB" w:rsidP="008A54AB">
      <w:pPr>
        <w:spacing w:after="0" w:line="360" w:lineRule="auto"/>
        <w:rPr>
          <w:rFonts w:asciiTheme="majorHAnsi" w:hAnsiTheme="majorHAnsi" w:cstheme="majorBidi"/>
          <w:b/>
          <w:sz w:val="20"/>
          <w:szCs w:val="24"/>
          <w:u w:val="single"/>
          <w:rtl/>
        </w:rPr>
      </w:pPr>
      <w:r w:rsidRPr="00681F50">
        <w:rPr>
          <w:rFonts w:asciiTheme="majorHAnsi" w:hAnsiTheme="majorHAnsi" w:cstheme="majorBidi" w:hint="cs"/>
          <w:b/>
          <w:bCs/>
          <w:sz w:val="20"/>
          <w:szCs w:val="24"/>
          <w:u w:val="single"/>
          <w:rtl/>
        </w:rPr>
        <w:t>الخاتمة</w:t>
      </w:r>
    </w:p>
    <w:p w14:paraId="1A55D066" w14:textId="7F5D3C5E" w:rsidR="008A54AB" w:rsidRPr="00681F50" w:rsidRDefault="004C137E" w:rsidP="00E92BF1">
      <w:pPr>
        <w:spacing w:after="0" w:line="360" w:lineRule="auto"/>
        <w:jc w:val="both"/>
        <w:rPr>
          <w:rFonts w:asciiTheme="majorHAnsi" w:hAnsiTheme="majorHAnsi" w:cstheme="majorBidi"/>
          <w:sz w:val="20"/>
          <w:szCs w:val="24"/>
          <w:rtl/>
        </w:rPr>
      </w:pPr>
      <w:r w:rsidRPr="00681F50">
        <w:rPr>
          <w:rFonts w:asciiTheme="majorHAnsi" w:hAnsiTheme="majorHAnsi" w:cstheme="majorBidi" w:hint="cs"/>
          <w:sz w:val="20"/>
          <w:szCs w:val="24"/>
          <w:rtl/>
        </w:rPr>
        <w:t>15.</w:t>
      </w:r>
      <w:r w:rsidRPr="00681F50">
        <w:rPr>
          <w:rFonts w:asciiTheme="majorHAnsi" w:hAnsiTheme="majorHAnsi" w:cstheme="majorBidi" w:hint="cs"/>
          <w:sz w:val="20"/>
          <w:szCs w:val="24"/>
          <w:rtl/>
        </w:rPr>
        <w:tab/>
        <w:t xml:space="preserve">ترد الميزات الرئيسية لمكتبة المراجع التقنية ومذكرات المبادئ التوجيهية الخاصة بالفريق الاستشاري الدولي للبحث والإنقاذ </w:t>
      </w:r>
      <w:r w:rsidR="007332C1" w:rsidRPr="00681F50">
        <w:rPr>
          <w:rFonts w:asciiTheme="majorHAnsi" w:hAnsiTheme="majorHAnsi" w:cstheme="majorBidi" w:hint="cs"/>
          <w:sz w:val="20"/>
          <w:szCs w:val="24"/>
          <w:rtl/>
        </w:rPr>
        <w:t>إيجاز</w:t>
      </w:r>
      <w:r w:rsidR="000E7EDC">
        <w:rPr>
          <w:rFonts w:asciiTheme="majorHAnsi" w:hAnsiTheme="majorHAnsi" w:cstheme="majorBidi" w:hint="cs"/>
          <w:sz w:val="20"/>
          <w:szCs w:val="24"/>
          <w:rtl/>
        </w:rPr>
        <w:t>ًا</w:t>
      </w:r>
      <w:r w:rsidR="007332C1" w:rsidRPr="00681F50">
        <w:rPr>
          <w:rFonts w:asciiTheme="majorHAnsi" w:hAnsiTheme="majorHAnsi" w:cstheme="majorBidi" w:hint="cs"/>
          <w:sz w:val="20"/>
          <w:szCs w:val="24"/>
          <w:rtl/>
        </w:rPr>
        <w:t xml:space="preserve"> </w:t>
      </w:r>
      <w:r w:rsidRPr="00681F50">
        <w:rPr>
          <w:rFonts w:asciiTheme="majorHAnsi" w:hAnsiTheme="majorHAnsi" w:cstheme="majorBidi" w:hint="cs"/>
          <w:sz w:val="20"/>
          <w:szCs w:val="24"/>
          <w:rtl/>
        </w:rPr>
        <w:t xml:space="preserve">في </w:t>
      </w:r>
      <w:r w:rsidRPr="00681F50">
        <w:rPr>
          <w:rFonts w:asciiTheme="majorHAnsi" w:hAnsiTheme="majorHAnsi" w:cstheme="majorBidi" w:hint="cs"/>
          <w:b/>
          <w:bCs/>
          <w:sz w:val="20"/>
          <w:szCs w:val="24"/>
          <w:u w:val="single"/>
          <w:rtl/>
        </w:rPr>
        <w:t>الجدول 1</w:t>
      </w:r>
      <w:r w:rsidRPr="00681F50">
        <w:rPr>
          <w:rFonts w:asciiTheme="majorHAnsi" w:hAnsiTheme="majorHAnsi" w:cstheme="majorBidi" w:hint="cs"/>
          <w:sz w:val="20"/>
          <w:szCs w:val="24"/>
          <w:rtl/>
        </w:rPr>
        <w:t xml:space="preserve"> أدناه.</w:t>
      </w:r>
      <w:r w:rsidRPr="00681F50">
        <w:rPr>
          <w:rFonts w:asciiTheme="majorHAnsi" w:hAnsiTheme="majorHAnsi" w:cstheme="majorBidi"/>
          <w:sz w:val="20"/>
          <w:szCs w:val="24"/>
        </w:rPr>
        <w:t xml:space="preserve"> </w:t>
      </w:r>
    </w:p>
    <w:tbl>
      <w:tblPr>
        <w:tblStyle w:val="TableGrid"/>
        <w:bidiVisual/>
        <w:tblW w:w="0" w:type="auto"/>
        <w:tblInd w:w="-5" w:type="dxa"/>
        <w:tblLook w:val="04A0" w:firstRow="1" w:lastRow="0" w:firstColumn="1" w:lastColumn="0" w:noHBand="0" w:noVBand="1"/>
      </w:tblPr>
      <w:tblGrid>
        <w:gridCol w:w="1560"/>
        <w:gridCol w:w="3402"/>
        <w:gridCol w:w="4059"/>
      </w:tblGrid>
      <w:tr w:rsidR="00E92BF1" w:rsidRPr="00681F50" w14:paraId="1C664B9A" w14:textId="77777777" w:rsidTr="00EA38FB">
        <w:tc>
          <w:tcPr>
            <w:tcW w:w="9021" w:type="dxa"/>
            <w:gridSpan w:val="3"/>
            <w:shd w:val="clear" w:color="auto" w:fill="D0CECE" w:themeFill="background2" w:themeFillShade="E6"/>
            <w:vAlign w:val="center"/>
          </w:tcPr>
          <w:p w14:paraId="561C72A0" w14:textId="77777777" w:rsidR="00E92BF1" w:rsidRPr="00681F50" w:rsidRDefault="00E92BF1" w:rsidP="00681F50">
            <w:pPr>
              <w:pStyle w:val="ListParagraph"/>
              <w:ind w:left="0"/>
              <w:jc w:val="center"/>
              <w:rPr>
                <w:rFonts w:asciiTheme="majorHAnsi" w:hAnsiTheme="majorHAnsi" w:cstheme="majorBidi"/>
                <w:b/>
                <w:sz w:val="20"/>
                <w:szCs w:val="22"/>
                <w:rtl/>
              </w:rPr>
            </w:pPr>
            <w:r w:rsidRPr="00681F50">
              <w:rPr>
                <w:rFonts w:asciiTheme="majorHAnsi" w:hAnsiTheme="majorHAnsi" w:cstheme="majorBidi" w:hint="cs"/>
                <w:b/>
                <w:bCs/>
                <w:sz w:val="20"/>
                <w:szCs w:val="22"/>
                <w:rtl/>
              </w:rPr>
              <w:t>الجدول 1:</w:t>
            </w:r>
            <w:r w:rsidRPr="00681F50">
              <w:rPr>
                <w:rFonts w:asciiTheme="majorHAnsi" w:hAnsiTheme="majorHAnsi" w:cstheme="majorBidi"/>
                <w:b/>
                <w:bCs/>
                <w:sz w:val="20"/>
                <w:szCs w:val="22"/>
              </w:rPr>
              <w:t xml:space="preserve"> </w:t>
            </w:r>
            <w:r w:rsidRPr="00681F50">
              <w:rPr>
                <w:rFonts w:asciiTheme="majorHAnsi" w:hAnsiTheme="majorHAnsi" w:cstheme="majorBidi" w:hint="cs"/>
                <w:b/>
                <w:bCs/>
                <w:sz w:val="20"/>
                <w:szCs w:val="22"/>
                <w:rtl/>
              </w:rPr>
              <w:t>ميزات مكتبة المراجع التقنية ومذكرات المبادئ التوجيهية الخاصة بالفريق الاستشاري الدولي للبحث والإنقاذ</w:t>
            </w:r>
          </w:p>
        </w:tc>
      </w:tr>
      <w:tr w:rsidR="00A26E66" w:rsidRPr="00681F50" w14:paraId="0B746383" w14:textId="77777777" w:rsidTr="00D76097">
        <w:tc>
          <w:tcPr>
            <w:tcW w:w="1560" w:type="dxa"/>
            <w:shd w:val="clear" w:color="auto" w:fill="D0CECE" w:themeFill="background2" w:themeFillShade="E6"/>
            <w:vAlign w:val="center"/>
          </w:tcPr>
          <w:p w14:paraId="1B6F26DE" w14:textId="77777777" w:rsidR="00A26E66" w:rsidRPr="00681F50" w:rsidRDefault="00A26E66" w:rsidP="00681F50">
            <w:pPr>
              <w:pStyle w:val="ListParagraph"/>
              <w:ind w:left="0"/>
              <w:rPr>
                <w:rFonts w:asciiTheme="majorHAnsi" w:hAnsiTheme="majorHAnsi" w:cstheme="majorHAnsi"/>
                <w:b/>
                <w:sz w:val="20"/>
                <w:szCs w:val="22"/>
              </w:rPr>
            </w:pPr>
          </w:p>
        </w:tc>
        <w:tc>
          <w:tcPr>
            <w:tcW w:w="3402" w:type="dxa"/>
            <w:shd w:val="clear" w:color="auto" w:fill="D0CECE" w:themeFill="background2" w:themeFillShade="E6"/>
            <w:vAlign w:val="center"/>
          </w:tcPr>
          <w:p w14:paraId="1232D6E9" w14:textId="77777777" w:rsidR="00A26E66" w:rsidRPr="00681F50" w:rsidRDefault="00A26E66" w:rsidP="00681F50">
            <w:pPr>
              <w:pStyle w:val="ListParagraph"/>
              <w:ind w:left="0"/>
              <w:jc w:val="center"/>
              <w:rPr>
                <w:rFonts w:asciiTheme="majorHAnsi" w:hAnsiTheme="majorHAnsi" w:cstheme="majorBidi"/>
                <w:b/>
                <w:sz w:val="20"/>
                <w:szCs w:val="22"/>
                <w:rtl/>
              </w:rPr>
            </w:pPr>
            <w:r w:rsidRPr="00681F50">
              <w:rPr>
                <w:rFonts w:asciiTheme="majorHAnsi" w:hAnsiTheme="majorHAnsi" w:cstheme="majorBidi" w:hint="cs"/>
                <w:b/>
                <w:bCs/>
                <w:sz w:val="20"/>
                <w:szCs w:val="22"/>
                <w:rtl/>
              </w:rPr>
              <w:t>مكتبة المراجع التقنية</w:t>
            </w:r>
          </w:p>
        </w:tc>
        <w:tc>
          <w:tcPr>
            <w:tcW w:w="4059" w:type="dxa"/>
            <w:shd w:val="clear" w:color="auto" w:fill="D0CECE" w:themeFill="background2" w:themeFillShade="E6"/>
            <w:vAlign w:val="center"/>
          </w:tcPr>
          <w:p w14:paraId="436B6E54" w14:textId="77777777" w:rsidR="00A26E66" w:rsidRPr="00681F50" w:rsidRDefault="00A26E66" w:rsidP="00681F50">
            <w:pPr>
              <w:pStyle w:val="ListParagraph"/>
              <w:ind w:left="0"/>
              <w:jc w:val="center"/>
              <w:rPr>
                <w:rFonts w:asciiTheme="majorHAnsi" w:hAnsiTheme="majorHAnsi" w:cstheme="majorBidi"/>
                <w:b/>
                <w:sz w:val="20"/>
                <w:szCs w:val="22"/>
                <w:rtl/>
              </w:rPr>
            </w:pPr>
            <w:r w:rsidRPr="00681F50">
              <w:rPr>
                <w:rFonts w:asciiTheme="majorHAnsi" w:hAnsiTheme="majorHAnsi" w:cstheme="majorBidi" w:hint="cs"/>
                <w:b/>
                <w:bCs/>
                <w:sz w:val="20"/>
                <w:szCs w:val="22"/>
                <w:rtl/>
              </w:rPr>
              <w:t>مذكرات المبادئ التوجيهية الخاصة بالفريق الاستشاري الدولي للبحث والإنقاذ</w:t>
            </w:r>
          </w:p>
        </w:tc>
      </w:tr>
      <w:tr w:rsidR="00A26E66" w:rsidRPr="00681F50" w14:paraId="23176BAD" w14:textId="77777777" w:rsidTr="00EA38FB">
        <w:tc>
          <w:tcPr>
            <w:tcW w:w="1560" w:type="dxa"/>
            <w:shd w:val="clear" w:color="auto" w:fill="E7E6E6" w:themeFill="background2"/>
            <w:vAlign w:val="center"/>
          </w:tcPr>
          <w:p w14:paraId="0B1A47A6" w14:textId="77777777" w:rsidR="00A26E66" w:rsidRPr="00681F50" w:rsidRDefault="00A26E66" w:rsidP="00681F50">
            <w:pPr>
              <w:pStyle w:val="ListParagraph"/>
              <w:ind w:left="0"/>
              <w:jc w:val="left"/>
              <w:rPr>
                <w:rFonts w:asciiTheme="majorHAnsi" w:hAnsiTheme="majorHAnsi" w:cstheme="majorBidi"/>
                <w:b/>
                <w:sz w:val="20"/>
                <w:szCs w:val="22"/>
                <w:rtl/>
              </w:rPr>
            </w:pPr>
            <w:r w:rsidRPr="00681F50">
              <w:rPr>
                <w:rFonts w:asciiTheme="majorHAnsi" w:hAnsiTheme="majorHAnsi" w:cstheme="majorBidi" w:hint="cs"/>
                <w:b/>
                <w:bCs/>
                <w:sz w:val="20"/>
                <w:szCs w:val="22"/>
                <w:rtl/>
              </w:rPr>
              <w:t>ما المنصة؟</w:t>
            </w:r>
          </w:p>
        </w:tc>
        <w:tc>
          <w:tcPr>
            <w:tcW w:w="7461" w:type="dxa"/>
            <w:gridSpan w:val="2"/>
            <w:vAlign w:val="center"/>
          </w:tcPr>
          <w:p w14:paraId="0A3B617B" w14:textId="77777777" w:rsidR="00A26E66" w:rsidRPr="00681F50" w:rsidRDefault="00A26E66" w:rsidP="00681F50">
            <w:pPr>
              <w:pStyle w:val="ListParagraph"/>
              <w:ind w:left="0"/>
              <w:rPr>
                <w:rFonts w:asciiTheme="majorHAnsi" w:hAnsiTheme="majorHAnsi" w:cstheme="majorBidi"/>
                <w:sz w:val="20"/>
                <w:szCs w:val="22"/>
                <w:rtl/>
              </w:rPr>
            </w:pPr>
            <w:r w:rsidRPr="00681F50">
              <w:rPr>
                <w:rFonts w:asciiTheme="majorHAnsi" w:hAnsiTheme="majorHAnsi" w:cstheme="majorBidi" w:hint="cs"/>
                <w:sz w:val="20"/>
                <w:szCs w:val="22"/>
                <w:rtl/>
              </w:rPr>
              <w:t>صفحة ويب الفريق الاستشاري الدولي للبحث والإنقاذ (</w:t>
            </w:r>
            <w:r w:rsidRPr="00681F50">
              <w:rPr>
                <w:rFonts w:asciiTheme="majorHAnsi" w:hAnsiTheme="majorHAnsi" w:cstheme="majorBidi"/>
                <w:sz w:val="20"/>
                <w:szCs w:val="22"/>
              </w:rPr>
              <w:t>insarag.org</w:t>
            </w:r>
            <w:r w:rsidRPr="00681F50">
              <w:rPr>
                <w:rFonts w:asciiTheme="majorHAnsi" w:hAnsiTheme="majorHAnsi" w:cstheme="majorBidi" w:hint="cs"/>
                <w:sz w:val="20"/>
                <w:szCs w:val="22"/>
                <w:rtl/>
              </w:rPr>
              <w:t>)</w:t>
            </w:r>
          </w:p>
        </w:tc>
      </w:tr>
      <w:tr w:rsidR="00A26E66" w:rsidRPr="00681F50" w14:paraId="523EFCCB" w14:textId="77777777" w:rsidTr="00D76097">
        <w:tc>
          <w:tcPr>
            <w:tcW w:w="1560" w:type="dxa"/>
            <w:shd w:val="clear" w:color="auto" w:fill="E7E6E6" w:themeFill="background2"/>
            <w:vAlign w:val="center"/>
          </w:tcPr>
          <w:p w14:paraId="548A83F8" w14:textId="77777777" w:rsidR="00A26E66" w:rsidRPr="00681F50" w:rsidRDefault="00A26E66" w:rsidP="00681F50">
            <w:pPr>
              <w:pStyle w:val="ListParagraph"/>
              <w:ind w:left="0"/>
              <w:jc w:val="left"/>
              <w:rPr>
                <w:rFonts w:asciiTheme="majorHAnsi" w:hAnsiTheme="majorHAnsi" w:cstheme="majorBidi"/>
                <w:b/>
                <w:sz w:val="20"/>
                <w:szCs w:val="22"/>
                <w:rtl/>
              </w:rPr>
            </w:pPr>
            <w:r w:rsidRPr="00681F50">
              <w:rPr>
                <w:rFonts w:asciiTheme="majorHAnsi" w:hAnsiTheme="majorHAnsi" w:cstheme="majorBidi" w:hint="cs"/>
                <w:b/>
                <w:bCs/>
                <w:sz w:val="20"/>
                <w:szCs w:val="22"/>
                <w:rtl/>
              </w:rPr>
              <w:t>مَن المدير؟</w:t>
            </w:r>
          </w:p>
        </w:tc>
        <w:tc>
          <w:tcPr>
            <w:tcW w:w="3402" w:type="dxa"/>
            <w:vAlign w:val="center"/>
          </w:tcPr>
          <w:p w14:paraId="60F59CCE" w14:textId="77777777" w:rsidR="00A26E66" w:rsidRPr="00681F50" w:rsidRDefault="00A26E66" w:rsidP="00681F50">
            <w:pPr>
              <w:pStyle w:val="ListParagraph"/>
              <w:ind w:left="0"/>
              <w:rPr>
                <w:rFonts w:asciiTheme="majorHAnsi" w:hAnsiTheme="majorHAnsi" w:cstheme="majorBidi"/>
                <w:sz w:val="20"/>
                <w:szCs w:val="22"/>
                <w:rtl/>
              </w:rPr>
            </w:pPr>
            <w:r w:rsidRPr="00681F50">
              <w:rPr>
                <w:rFonts w:asciiTheme="majorHAnsi" w:hAnsiTheme="majorHAnsi" w:cstheme="majorBidi" w:hint="cs"/>
                <w:sz w:val="20"/>
                <w:szCs w:val="22"/>
                <w:rtl/>
              </w:rPr>
              <w:t>سيقوم مكتب الأمم المتحدة لتنسيق الشؤون الإنسانية (</w:t>
            </w:r>
            <w:proofErr w:type="spellStart"/>
            <w:r w:rsidRPr="00681F50">
              <w:rPr>
                <w:rFonts w:asciiTheme="majorHAnsi" w:hAnsiTheme="majorHAnsi" w:cstheme="majorBidi" w:hint="cs"/>
                <w:sz w:val="20"/>
                <w:szCs w:val="22"/>
                <w:rtl/>
              </w:rPr>
              <w:t>أوتشا</w:t>
            </w:r>
            <w:proofErr w:type="spellEnd"/>
            <w:r w:rsidRPr="00681F50">
              <w:rPr>
                <w:rFonts w:asciiTheme="majorHAnsi" w:hAnsiTheme="majorHAnsi" w:cstheme="majorBidi" w:hint="cs"/>
                <w:sz w:val="20"/>
                <w:szCs w:val="22"/>
                <w:rtl/>
              </w:rPr>
              <w:t>) والأمانة العامة للفريق الاستشاري الدولي للبحث والإنقاذ، بإدارة وتيسير مكتبة المراجع التقنية بمساعدة جهة التنسيق التشغيلية ذات الصلة (على الصعيد الوطني) والفرق العاملة ذات الصلة.</w:t>
            </w:r>
          </w:p>
        </w:tc>
        <w:tc>
          <w:tcPr>
            <w:tcW w:w="4059" w:type="dxa"/>
          </w:tcPr>
          <w:p w14:paraId="498D7143" w14:textId="77777777" w:rsidR="00A26E66" w:rsidRPr="00681F50" w:rsidRDefault="00E92BF1" w:rsidP="00681F50">
            <w:pPr>
              <w:pStyle w:val="ListParagraph"/>
              <w:ind w:left="0"/>
              <w:rPr>
                <w:rFonts w:asciiTheme="majorHAnsi" w:hAnsiTheme="majorHAnsi" w:cstheme="majorBidi"/>
                <w:sz w:val="20"/>
                <w:szCs w:val="22"/>
                <w:rtl/>
              </w:rPr>
            </w:pPr>
            <w:r w:rsidRPr="00681F50">
              <w:rPr>
                <w:rFonts w:asciiTheme="majorHAnsi" w:hAnsiTheme="majorHAnsi" w:cstheme="majorBidi" w:hint="cs"/>
                <w:sz w:val="20"/>
                <w:szCs w:val="22"/>
                <w:rtl/>
              </w:rPr>
              <w:t>وستقوم الفرق العاملة ذات الصلة التابعة للفريق الاستشاري الدولي للبحث والإنقاذ بإدارة وتيسير مذكرات المبادئ التوجيهية الخاصة بالفريق الاستشاري الدولي للبحث والإنقاذ.</w:t>
            </w:r>
          </w:p>
        </w:tc>
      </w:tr>
      <w:tr w:rsidR="00A26E66" w:rsidRPr="00681F50" w14:paraId="28E31D86" w14:textId="77777777" w:rsidTr="00D76097">
        <w:tc>
          <w:tcPr>
            <w:tcW w:w="1560" w:type="dxa"/>
            <w:shd w:val="clear" w:color="auto" w:fill="E7E6E6" w:themeFill="background2"/>
            <w:vAlign w:val="center"/>
          </w:tcPr>
          <w:p w14:paraId="5574CF56" w14:textId="77777777" w:rsidR="00A26E66" w:rsidRPr="00681F50" w:rsidRDefault="00A26E66" w:rsidP="00681F50">
            <w:pPr>
              <w:pStyle w:val="ListParagraph"/>
              <w:ind w:left="0"/>
              <w:jc w:val="left"/>
              <w:rPr>
                <w:rFonts w:asciiTheme="majorHAnsi" w:hAnsiTheme="majorHAnsi" w:cstheme="majorBidi"/>
                <w:b/>
                <w:sz w:val="20"/>
                <w:szCs w:val="22"/>
                <w:rtl/>
              </w:rPr>
            </w:pPr>
            <w:r w:rsidRPr="00681F50">
              <w:rPr>
                <w:rFonts w:asciiTheme="majorHAnsi" w:hAnsiTheme="majorHAnsi" w:cstheme="majorBidi" w:hint="cs"/>
                <w:b/>
                <w:bCs/>
                <w:sz w:val="20"/>
                <w:szCs w:val="22"/>
                <w:rtl/>
              </w:rPr>
              <w:t>ما الوظيفة التي تقوم بها؟</w:t>
            </w:r>
          </w:p>
        </w:tc>
        <w:tc>
          <w:tcPr>
            <w:tcW w:w="3402" w:type="dxa"/>
            <w:vAlign w:val="center"/>
          </w:tcPr>
          <w:p w14:paraId="7D42FD0A" w14:textId="77777777" w:rsidR="00A26E66" w:rsidRPr="00681F50" w:rsidRDefault="00A26E66" w:rsidP="00681F50">
            <w:pPr>
              <w:pStyle w:val="ListParagraph"/>
              <w:ind w:left="0"/>
              <w:rPr>
                <w:rFonts w:asciiTheme="majorHAnsi" w:hAnsiTheme="majorHAnsi" w:cstheme="majorBidi"/>
                <w:sz w:val="20"/>
                <w:szCs w:val="22"/>
                <w:rtl/>
              </w:rPr>
            </w:pPr>
            <w:r w:rsidRPr="00681F50">
              <w:rPr>
                <w:rFonts w:asciiTheme="majorHAnsi" w:hAnsiTheme="majorHAnsi" w:cstheme="majorBidi" w:hint="cs"/>
                <w:sz w:val="20"/>
                <w:szCs w:val="22"/>
                <w:rtl/>
              </w:rPr>
              <w:t>مستودع معارف للممارسات الفضلى</w:t>
            </w:r>
          </w:p>
        </w:tc>
        <w:tc>
          <w:tcPr>
            <w:tcW w:w="4059" w:type="dxa"/>
            <w:vAlign w:val="center"/>
          </w:tcPr>
          <w:p w14:paraId="0DF270EE" w14:textId="6690FB66" w:rsidR="00A26E66" w:rsidRPr="00681F50" w:rsidRDefault="00E92BF1" w:rsidP="00681F50">
            <w:pPr>
              <w:pStyle w:val="ListParagraph"/>
              <w:ind w:left="0"/>
              <w:rPr>
                <w:rFonts w:asciiTheme="majorHAnsi" w:hAnsiTheme="majorHAnsi" w:cstheme="majorBidi"/>
                <w:sz w:val="20"/>
                <w:szCs w:val="22"/>
                <w:rtl/>
              </w:rPr>
            </w:pPr>
            <w:r w:rsidRPr="00681F50">
              <w:rPr>
                <w:rFonts w:asciiTheme="majorHAnsi" w:hAnsiTheme="majorHAnsi" w:cstheme="majorBidi" w:hint="cs"/>
                <w:sz w:val="20"/>
                <w:szCs w:val="22"/>
                <w:rtl/>
              </w:rPr>
              <w:t xml:space="preserve">مستودع المعارف (1) لقوائم التدقيق (مثل قائمة التدقيق الخاصة بالتحقق من برنامج العمل الوطني، قائمة تدقيق التصنيف/ إعادة التصنيف الخارجي للفريق الاستشاري الدولي للبحث والإنقاذ، و(2) النماذج، </w:t>
            </w:r>
            <w:r w:rsidR="000A6D16">
              <w:rPr>
                <w:rFonts w:asciiTheme="majorHAnsi" w:hAnsiTheme="majorHAnsi" w:cstheme="majorBidi" w:hint="cs"/>
                <w:sz w:val="20"/>
                <w:szCs w:val="22"/>
                <w:rtl/>
              </w:rPr>
              <w:t>و</w:t>
            </w:r>
            <w:r w:rsidRPr="00681F50">
              <w:rPr>
                <w:rFonts w:asciiTheme="majorHAnsi" w:hAnsiTheme="majorHAnsi" w:cstheme="majorBidi" w:hint="cs"/>
                <w:sz w:val="20"/>
                <w:szCs w:val="22"/>
                <w:rtl/>
              </w:rPr>
              <w:t>(3) المجلد الثالث (الدليل الميداني التشغيلي</w:t>
            </w:r>
            <w:r w:rsidR="000A6D16" w:rsidRPr="00681F50">
              <w:rPr>
                <w:rFonts w:asciiTheme="majorHAnsi" w:hAnsiTheme="majorHAnsi" w:cstheme="majorBidi" w:hint="cs"/>
                <w:sz w:val="20"/>
                <w:szCs w:val="22"/>
                <w:rtl/>
              </w:rPr>
              <w:t>)</w:t>
            </w:r>
            <w:r w:rsidR="000A6D16">
              <w:rPr>
                <w:rFonts w:asciiTheme="majorHAnsi" w:hAnsiTheme="majorHAnsi" w:cstheme="majorBidi" w:hint="cs"/>
                <w:sz w:val="20"/>
                <w:szCs w:val="22"/>
                <w:rtl/>
              </w:rPr>
              <w:t>،</w:t>
            </w:r>
            <w:r w:rsidR="000A6D16" w:rsidRPr="00681F50">
              <w:rPr>
                <w:rFonts w:asciiTheme="majorHAnsi" w:hAnsiTheme="majorHAnsi" w:cstheme="majorBidi" w:hint="cs"/>
                <w:sz w:val="20"/>
                <w:szCs w:val="22"/>
                <w:rtl/>
              </w:rPr>
              <w:t xml:space="preserve"> </w:t>
            </w:r>
            <w:r w:rsidRPr="00681F50">
              <w:rPr>
                <w:rFonts w:asciiTheme="majorHAnsi" w:hAnsiTheme="majorHAnsi" w:cstheme="majorBidi" w:hint="cs"/>
                <w:sz w:val="20"/>
                <w:szCs w:val="22"/>
                <w:rtl/>
              </w:rPr>
              <w:t>و(4) الأدلة (مثل دليل تنسيق فرق البحث والإنقاذ في المناطق الحضرية)، ويتم إدراجها تحت قسم "</w:t>
            </w:r>
            <w:r w:rsidR="00900631">
              <w:rPr>
                <w:rFonts w:asciiTheme="majorHAnsi" w:hAnsiTheme="majorHAnsi" w:cstheme="majorBidi" w:hint="cs"/>
                <w:sz w:val="20"/>
                <w:szCs w:val="22"/>
                <w:rtl/>
              </w:rPr>
              <w:t>الملاحظات التوجيهية</w:t>
            </w:r>
            <w:r w:rsidRPr="00681F50">
              <w:rPr>
                <w:rFonts w:asciiTheme="majorHAnsi" w:hAnsiTheme="majorHAnsi" w:cstheme="majorBidi" w:hint="cs"/>
                <w:sz w:val="20"/>
                <w:szCs w:val="22"/>
                <w:rtl/>
              </w:rPr>
              <w:t xml:space="preserve">" في </w:t>
            </w:r>
            <w:r w:rsidRPr="00681F50">
              <w:rPr>
                <w:rFonts w:asciiTheme="majorHAnsi" w:hAnsiTheme="majorHAnsi" w:cstheme="majorBidi"/>
                <w:sz w:val="20"/>
                <w:szCs w:val="22"/>
              </w:rPr>
              <w:t>INSARAG.org</w:t>
            </w:r>
            <w:r w:rsidRPr="00681F50">
              <w:rPr>
                <w:rFonts w:asciiTheme="majorHAnsi" w:hAnsiTheme="majorHAnsi" w:cstheme="majorBidi" w:hint="cs"/>
                <w:sz w:val="20"/>
                <w:szCs w:val="22"/>
                <w:rtl/>
              </w:rPr>
              <w:t>.</w:t>
            </w:r>
            <w:r w:rsidRPr="00681F50">
              <w:rPr>
                <w:rFonts w:asciiTheme="majorHAnsi" w:hAnsiTheme="majorHAnsi" w:cstheme="majorBidi"/>
                <w:sz w:val="20"/>
                <w:szCs w:val="22"/>
              </w:rPr>
              <w:t xml:space="preserve"> </w:t>
            </w:r>
            <w:r w:rsidRPr="00681F50">
              <w:rPr>
                <w:rFonts w:asciiTheme="majorHAnsi" w:hAnsiTheme="majorHAnsi" w:cstheme="majorBidi" w:hint="cs"/>
                <w:sz w:val="20"/>
                <w:szCs w:val="22"/>
                <w:rtl/>
              </w:rPr>
              <w:t xml:space="preserve">تظل البنود </w:t>
            </w:r>
            <w:r w:rsidR="007332C1" w:rsidRPr="00681F50">
              <w:rPr>
                <w:rFonts w:asciiTheme="majorHAnsi" w:hAnsiTheme="majorHAnsi" w:cstheme="majorBidi" w:hint="cs"/>
                <w:sz w:val="20"/>
                <w:szCs w:val="22"/>
                <w:rtl/>
              </w:rPr>
              <w:t>جزء</w:t>
            </w:r>
            <w:r w:rsidR="000E7EDC">
              <w:rPr>
                <w:rFonts w:asciiTheme="majorHAnsi" w:hAnsiTheme="majorHAnsi" w:cstheme="majorBidi" w:hint="cs"/>
                <w:sz w:val="20"/>
                <w:szCs w:val="22"/>
                <w:rtl/>
              </w:rPr>
              <w:t>ًا</w:t>
            </w:r>
            <w:r w:rsidR="007332C1" w:rsidRPr="00681F50">
              <w:rPr>
                <w:rFonts w:asciiTheme="majorHAnsi" w:hAnsiTheme="majorHAnsi" w:cstheme="majorBidi" w:hint="cs"/>
                <w:sz w:val="20"/>
                <w:szCs w:val="22"/>
                <w:rtl/>
              </w:rPr>
              <w:t xml:space="preserve"> </w:t>
            </w:r>
            <w:r w:rsidRPr="00681F50">
              <w:rPr>
                <w:rFonts w:asciiTheme="majorHAnsi" w:hAnsiTheme="majorHAnsi" w:cstheme="majorBidi" w:hint="cs"/>
                <w:sz w:val="20"/>
                <w:szCs w:val="22"/>
                <w:rtl/>
              </w:rPr>
              <w:t>لا يتجزأ من المبادئ التوجيهية ويمكن استعراضها/ تحديثها عند الضرورة.</w:t>
            </w:r>
          </w:p>
        </w:tc>
      </w:tr>
      <w:tr w:rsidR="00A26E66" w:rsidRPr="00681F50" w14:paraId="23E164C2" w14:textId="77777777" w:rsidTr="00D76097">
        <w:tc>
          <w:tcPr>
            <w:tcW w:w="1560" w:type="dxa"/>
            <w:shd w:val="clear" w:color="auto" w:fill="E7E6E6" w:themeFill="background2"/>
            <w:vAlign w:val="center"/>
          </w:tcPr>
          <w:p w14:paraId="2BF066F6" w14:textId="77777777" w:rsidR="00A26E66" w:rsidRPr="00681F50" w:rsidRDefault="00A26E66" w:rsidP="00681F50">
            <w:pPr>
              <w:pStyle w:val="ListParagraph"/>
              <w:ind w:left="0"/>
              <w:jc w:val="left"/>
              <w:rPr>
                <w:rFonts w:asciiTheme="majorHAnsi" w:hAnsiTheme="majorHAnsi" w:cstheme="majorBidi"/>
                <w:b/>
                <w:sz w:val="20"/>
                <w:szCs w:val="22"/>
                <w:rtl/>
              </w:rPr>
            </w:pPr>
            <w:r w:rsidRPr="00681F50">
              <w:rPr>
                <w:rFonts w:asciiTheme="majorHAnsi" w:hAnsiTheme="majorHAnsi" w:cstheme="majorBidi" w:hint="cs"/>
                <w:b/>
                <w:bCs/>
                <w:sz w:val="20"/>
                <w:szCs w:val="22"/>
                <w:rtl/>
              </w:rPr>
              <w:t>من يستطيع المساهمة/ العرض؟</w:t>
            </w:r>
          </w:p>
        </w:tc>
        <w:tc>
          <w:tcPr>
            <w:tcW w:w="3402" w:type="dxa"/>
            <w:vAlign w:val="center"/>
          </w:tcPr>
          <w:p w14:paraId="40AAB792" w14:textId="77777777" w:rsidR="00A26E66" w:rsidRPr="00681F50" w:rsidRDefault="00A26E66" w:rsidP="00681F50">
            <w:pPr>
              <w:pStyle w:val="ListParagraph"/>
              <w:ind w:left="0"/>
              <w:rPr>
                <w:rFonts w:asciiTheme="majorHAnsi" w:hAnsiTheme="majorHAnsi" w:cstheme="majorBidi"/>
                <w:sz w:val="20"/>
                <w:szCs w:val="22"/>
                <w:rtl/>
              </w:rPr>
            </w:pPr>
            <w:r w:rsidRPr="00681F50">
              <w:rPr>
                <w:rFonts w:asciiTheme="majorHAnsi" w:hAnsiTheme="majorHAnsi" w:cstheme="majorBidi" w:hint="cs"/>
                <w:sz w:val="20"/>
                <w:szCs w:val="22"/>
                <w:u w:val="single"/>
                <w:rtl/>
              </w:rPr>
              <w:t>المساهمة</w:t>
            </w:r>
            <w:r w:rsidRPr="00681F50">
              <w:rPr>
                <w:rFonts w:asciiTheme="majorHAnsi" w:hAnsiTheme="majorHAnsi" w:cstheme="majorBidi" w:hint="cs"/>
                <w:sz w:val="20"/>
                <w:szCs w:val="22"/>
                <w:rtl/>
              </w:rPr>
              <w:t xml:space="preserve"> - جميع الفرق المصنفة والخاضعة لتصنيفات الفريق الاستشاري الدولي للبحث والإنقاذ، أو جهات التنسيق الوطنية التابعة لها.</w:t>
            </w:r>
            <w:r w:rsidRPr="00681F50">
              <w:rPr>
                <w:rFonts w:asciiTheme="majorHAnsi" w:hAnsiTheme="majorHAnsi" w:cstheme="majorBidi"/>
                <w:sz w:val="20"/>
                <w:szCs w:val="22"/>
              </w:rPr>
              <w:t xml:space="preserve"> </w:t>
            </w:r>
            <w:r w:rsidRPr="00681F50">
              <w:rPr>
                <w:rFonts w:asciiTheme="majorHAnsi" w:hAnsiTheme="majorHAnsi" w:cstheme="majorBidi" w:hint="cs"/>
                <w:sz w:val="20"/>
                <w:szCs w:val="22"/>
                <w:rtl/>
              </w:rPr>
              <w:t>جميع المساهمات التي وافقت عليها جهة التنسيق المعنية.</w:t>
            </w:r>
          </w:p>
          <w:p w14:paraId="70512B76" w14:textId="12288EDB" w:rsidR="00A26E66" w:rsidRPr="00681F50" w:rsidRDefault="00A26E66" w:rsidP="00681F50">
            <w:pPr>
              <w:pStyle w:val="ListParagraph"/>
              <w:ind w:left="0"/>
              <w:rPr>
                <w:rFonts w:asciiTheme="majorHAnsi" w:hAnsiTheme="majorHAnsi" w:cstheme="majorBidi"/>
                <w:sz w:val="20"/>
                <w:szCs w:val="22"/>
                <w:rtl/>
              </w:rPr>
            </w:pPr>
            <w:r w:rsidRPr="00681F50">
              <w:rPr>
                <w:rFonts w:asciiTheme="majorHAnsi" w:hAnsiTheme="majorHAnsi" w:cstheme="majorBidi" w:hint="cs"/>
                <w:sz w:val="20"/>
                <w:szCs w:val="22"/>
                <w:u w:val="single"/>
                <w:rtl/>
              </w:rPr>
              <w:t>العرض</w:t>
            </w:r>
            <w:r w:rsidRPr="00681F50">
              <w:rPr>
                <w:rFonts w:asciiTheme="majorHAnsi" w:hAnsiTheme="majorHAnsi" w:cstheme="majorBidi" w:hint="cs"/>
                <w:sz w:val="20"/>
                <w:szCs w:val="22"/>
                <w:rtl/>
              </w:rPr>
              <w:t xml:space="preserve"> - مجتمع الفريق الاستشاري الدولي للبحث والإنقاذ الأوسع </w:t>
            </w:r>
            <w:r w:rsidR="007332C1" w:rsidRPr="00681F50">
              <w:rPr>
                <w:rFonts w:asciiTheme="majorHAnsi" w:hAnsiTheme="majorHAnsi" w:cstheme="majorBidi" w:hint="cs"/>
                <w:sz w:val="20"/>
                <w:szCs w:val="22"/>
                <w:rtl/>
              </w:rPr>
              <w:t>نطاق</w:t>
            </w:r>
            <w:r w:rsidR="000E7EDC">
              <w:rPr>
                <w:rFonts w:asciiTheme="majorHAnsi" w:hAnsiTheme="majorHAnsi" w:cstheme="majorBidi" w:hint="cs"/>
                <w:sz w:val="20"/>
                <w:szCs w:val="22"/>
                <w:rtl/>
              </w:rPr>
              <w:t>ًا</w:t>
            </w:r>
          </w:p>
        </w:tc>
        <w:tc>
          <w:tcPr>
            <w:tcW w:w="4059" w:type="dxa"/>
            <w:vAlign w:val="center"/>
          </w:tcPr>
          <w:p w14:paraId="74FD3C62" w14:textId="77777777" w:rsidR="00A26E66" w:rsidRPr="00681F50" w:rsidRDefault="00A26E66" w:rsidP="00681F50">
            <w:pPr>
              <w:pStyle w:val="ListParagraph"/>
              <w:ind w:left="0"/>
              <w:rPr>
                <w:rFonts w:asciiTheme="majorHAnsi" w:hAnsiTheme="majorHAnsi" w:cstheme="majorBidi"/>
                <w:sz w:val="20"/>
                <w:szCs w:val="22"/>
                <w:rtl/>
              </w:rPr>
            </w:pPr>
            <w:r w:rsidRPr="00681F50">
              <w:rPr>
                <w:rFonts w:asciiTheme="majorHAnsi" w:hAnsiTheme="majorHAnsi" w:cstheme="majorBidi" w:hint="cs"/>
                <w:sz w:val="20"/>
                <w:szCs w:val="22"/>
                <w:u w:val="single"/>
                <w:rtl/>
              </w:rPr>
              <w:t>المساهمة</w:t>
            </w:r>
            <w:r w:rsidRPr="00681F50">
              <w:rPr>
                <w:rFonts w:asciiTheme="majorHAnsi" w:hAnsiTheme="majorHAnsi" w:cstheme="majorBidi" w:hint="cs"/>
                <w:sz w:val="20"/>
                <w:szCs w:val="22"/>
                <w:rtl/>
              </w:rPr>
              <w:t xml:space="preserve"> - الفرق العاملة التابعة للفريق الاستشاري الدولي للبحث والإنقاذ.</w:t>
            </w:r>
            <w:r w:rsidRPr="00681F50">
              <w:rPr>
                <w:rFonts w:asciiTheme="majorHAnsi" w:hAnsiTheme="majorHAnsi" w:cstheme="majorBidi"/>
                <w:sz w:val="20"/>
                <w:szCs w:val="22"/>
              </w:rPr>
              <w:t xml:space="preserve"> </w:t>
            </w:r>
            <w:r w:rsidRPr="00681F50">
              <w:rPr>
                <w:rFonts w:asciiTheme="majorHAnsi" w:hAnsiTheme="majorHAnsi" w:cstheme="majorBidi" w:hint="cs"/>
                <w:sz w:val="20"/>
                <w:szCs w:val="22"/>
                <w:rtl/>
              </w:rPr>
              <w:t>يجب أن يوافق الفريق التوجيهي التابع للفريق الاستشاري الدولي للبحث والإنقاذ على جميع المراجعات.</w:t>
            </w:r>
          </w:p>
          <w:p w14:paraId="320278CF" w14:textId="38FD32A3" w:rsidR="00A26E66" w:rsidRPr="00681F50" w:rsidRDefault="00A26E66" w:rsidP="00681F50">
            <w:pPr>
              <w:pStyle w:val="ListParagraph"/>
              <w:ind w:left="0"/>
              <w:rPr>
                <w:rFonts w:asciiTheme="majorHAnsi" w:hAnsiTheme="majorHAnsi" w:cstheme="majorBidi"/>
                <w:sz w:val="20"/>
                <w:szCs w:val="22"/>
                <w:rtl/>
              </w:rPr>
            </w:pPr>
            <w:r w:rsidRPr="00681F50">
              <w:rPr>
                <w:rFonts w:asciiTheme="majorHAnsi" w:hAnsiTheme="majorHAnsi" w:cstheme="majorBidi" w:hint="cs"/>
                <w:sz w:val="20"/>
                <w:szCs w:val="22"/>
                <w:u w:val="single"/>
                <w:rtl/>
              </w:rPr>
              <w:t>العرض</w:t>
            </w:r>
            <w:r w:rsidRPr="00681F50">
              <w:rPr>
                <w:rFonts w:asciiTheme="majorHAnsi" w:hAnsiTheme="majorHAnsi" w:cstheme="majorBidi" w:hint="cs"/>
                <w:sz w:val="20"/>
                <w:szCs w:val="22"/>
                <w:rtl/>
              </w:rPr>
              <w:t xml:space="preserve"> - مجتمع الفريق الاستشاري الدولي للبحث والإنقاذ الأوسع </w:t>
            </w:r>
            <w:r w:rsidR="007332C1" w:rsidRPr="00681F50">
              <w:rPr>
                <w:rFonts w:asciiTheme="majorHAnsi" w:hAnsiTheme="majorHAnsi" w:cstheme="majorBidi" w:hint="cs"/>
                <w:sz w:val="20"/>
                <w:szCs w:val="22"/>
                <w:rtl/>
              </w:rPr>
              <w:t>نطاق</w:t>
            </w:r>
            <w:r w:rsidR="000E7EDC">
              <w:rPr>
                <w:rFonts w:asciiTheme="majorHAnsi" w:hAnsiTheme="majorHAnsi" w:cstheme="majorBidi" w:hint="cs"/>
                <w:sz w:val="20"/>
                <w:szCs w:val="22"/>
                <w:rtl/>
              </w:rPr>
              <w:t>ًا</w:t>
            </w:r>
          </w:p>
        </w:tc>
      </w:tr>
    </w:tbl>
    <w:p w14:paraId="18E32BDD" w14:textId="77777777" w:rsidR="008A54AB" w:rsidRPr="00886FAF" w:rsidRDefault="008A54AB" w:rsidP="00FD2657">
      <w:pPr>
        <w:spacing w:after="0" w:line="360" w:lineRule="auto"/>
        <w:rPr>
          <w:rFonts w:asciiTheme="majorHAnsi" w:hAnsiTheme="majorHAnsi" w:cstheme="majorHAnsi"/>
          <w:b/>
          <w:sz w:val="20"/>
          <w:szCs w:val="20"/>
          <w:u w:val="single"/>
        </w:rPr>
        <w:sectPr w:rsidR="008A54AB" w:rsidRPr="00886FAF" w:rsidSect="00681F50">
          <w:headerReference w:type="default" r:id="rId11"/>
          <w:footerReference w:type="default" r:id="rId12"/>
          <w:pgSz w:w="11907" w:h="16840" w:code="9"/>
          <w:pgMar w:top="1440" w:right="1440" w:bottom="1440" w:left="1440" w:header="709" w:footer="709" w:gutter="0"/>
          <w:cols w:space="708"/>
          <w:bidi/>
          <w:docGrid w:linePitch="360"/>
        </w:sectPr>
      </w:pPr>
    </w:p>
    <w:p w14:paraId="5E167867" w14:textId="1B180731" w:rsidR="00E11F25" w:rsidRPr="00D5453F" w:rsidRDefault="00FF2710" w:rsidP="00FD2657">
      <w:pPr>
        <w:spacing w:after="0" w:line="360" w:lineRule="auto"/>
        <w:rPr>
          <w:rFonts w:asciiTheme="majorHAnsi" w:hAnsiTheme="majorHAnsi" w:cstheme="majorBidi"/>
          <w:b/>
          <w:sz w:val="20"/>
          <w:szCs w:val="24"/>
          <w:u w:val="single"/>
          <w:rtl/>
        </w:rPr>
      </w:pPr>
      <w:r w:rsidRPr="00D5453F">
        <w:rPr>
          <w:rFonts w:asciiTheme="majorHAnsi" w:hAnsiTheme="majorHAnsi" w:cstheme="majorBidi" w:hint="cs"/>
          <w:b/>
          <w:bCs/>
          <w:sz w:val="20"/>
          <w:szCs w:val="24"/>
          <w:u w:val="single"/>
          <w:rtl/>
        </w:rPr>
        <w:lastRenderedPageBreak/>
        <w:t>الملحق 1:</w:t>
      </w:r>
      <w:r w:rsidRPr="00D5453F">
        <w:rPr>
          <w:rFonts w:asciiTheme="majorHAnsi" w:hAnsiTheme="majorHAnsi" w:cstheme="majorBidi"/>
          <w:b/>
          <w:bCs/>
          <w:sz w:val="20"/>
          <w:szCs w:val="24"/>
          <w:u w:val="single"/>
        </w:rPr>
        <w:t xml:space="preserve"> </w:t>
      </w:r>
      <w:r w:rsidRPr="00D5453F">
        <w:rPr>
          <w:rFonts w:asciiTheme="majorHAnsi" w:hAnsiTheme="majorHAnsi" w:cstheme="majorBidi" w:hint="cs"/>
          <w:b/>
          <w:bCs/>
          <w:sz w:val="20"/>
          <w:szCs w:val="24"/>
          <w:u w:val="single"/>
          <w:rtl/>
        </w:rPr>
        <w:t>فصل المبادئ التوجيهية للفريق الاستشاري الدولي للبحث والإنقاذ، و</w:t>
      </w:r>
      <w:r w:rsidR="00900631">
        <w:rPr>
          <w:rFonts w:asciiTheme="majorHAnsi" w:hAnsiTheme="majorHAnsi" w:cstheme="majorBidi" w:hint="cs"/>
          <w:b/>
          <w:bCs/>
          <w:sz w:val="20"/>
          <w:szCs w:val="24"/>
          <w:u w:val="single"/>
          <w:rtl/>
        </w:rPr>
        <w:t>الملاحظات التوجيهية</w:t>
      </w:r>
      <w:r w:rsidRPr="00D5453F">
        <w:rPr>
          <w:rFonts w:asciiTheme="majorHAnsi" w:hAnsiTheme="majorHAnsi" w:cstheme="majorBidi" w:hint="cs"/>
          <w:b/>
          <w:bCs/>
          <w:sz w:val="20"/>
          <w:szCs w:val="24"/>
          <w:u w:val="single"/>
          <w:rtl/>
        </w:rPr>
        <w:t>، وتطوير مكتبة المراجع التقنية</w:t>
      </w:r>
      <w:r w:rsidRPr="00D5453F">
        <w:rPr>
          <w:rFonts w:asciiTheme="majorHAnsi" w:hAnsiTheme="majorHAnsi" w:cstheme="majorBidi"/>
          <w:b/>
          <w:bCs/>
          <w:sz w:val="20"/>
          <w:szCs w:val="24"/>
          <w:u w:val="single"/>
        </w:rPr>
        <w:t xml:space="preserve"> </w:t>
      </w:r>
    </w:p>
    <w:p w14:paraId="1F15ED53" w14:textId="77777777" w:rsidR="002B484C" w:rsidRPr="00D5453F" w:rsidRDefault="002B484C" w:rsidP="00FD2657">
      <w:pPr>
        <w:spacing w:after="0" w:line="360" w:lineRule="auto"/>
        <w:rPr>
          <w:rFonts w:asciiTheme="majorHAnsi" w:hAnsiTheme="majorHAnsi" w:cstheme="majorHAnsi"/>
          <w:b/>
          <w:sz w:val="20"/>
          <w:szCs w:val="24"/>
          <w:u w:val="single"/>
        </w:rPr>
      </w:pPr>
    </w:p>
    <w:p w14:paraId="273E3DD4" w14:textId="26211DF1" w:rsidR="002B484C" w:rsidRPr="00D5453F" w:rsidRDefault="002B484C" w:rsidP="00FD2657">
      <w:pPr>
        <w:spacing w:after="0" w:line="360" w:lineRule="auto"/>
        <w:rPr>
          <w:rFonts w:asciiTheme="majorHAnsi" w:hAnsiTheme="majorHAnsi" w:cstheme="majorBidi"/>
          <w:sz w:val="20"/>
          <w:szCs w:val="24"/>
          <w:rtl/>
        </w:rPr>
      </w:pPr>
      <w:r w:rsidRPr="00D5453F">
        <w:rPr>
          <w:rFonts w:asciiTheme="majorHAnsi" w:hAnsiTheme="majorHAnsi" w:cstheme="majorBidi" w:hint="cs"/>
          <w:sz w:val="20"/>
          <w:szCs w:val="24"/>
          <w:rtl/>
        </w:rPr>
        <w:t xml:space="preserve">يرد أدناه شكل لعرض بصري لفصل </w:t>
      </w:r>
      <w:r w:rsidR="00900631">
        <w:rPr>
          <w:rFonts w:asciiTheme="majorHAnsi" w:hAnsiTheme="majorHAnsi" w:cstheme="majorBidi" w:hint="cs"/>
          <w:sz w:val="20"/>
          <w:szCs w:val="24"/>
          <w:rtl/>
        </w:rPr>
        <w:t>الملاحظات التوجيهية</w:t>
      </w:r>
      <w:r w:rsidRPr="00D5453F">
        <w:rPr>
          <w:rFonts w:asciiTheme="majorHAnsi" w:hAnsiTheme="majorHAnsi" w:cstheme="majorBidi" w:hint="cs"/>
          <w:sz w:val="20"/>
          <w:szCs w:val="24"/>
          <w:rtl/>
        </w:rPr>
        <w:t xml:space="preserve"> والمبادئ التوجيهية للفريق الاستشاري الدولي للبحث والإنقاذ ومقدمة مكتبة المراجع التقنية.</w:t>
      </w:r>
    </w:p>
    <w:p w14:paraId="19D6BC18" w14:textId="77777777" w:rsidR="00D55681" w:rsidRPr="00886FAF" w:rsidRDefault="00D55681" w:rsidP="00FD2657">
      <w:pPr>
        <w:spacing w:after="0" w:line="360" w:lineRule="auto"/>
        <w:rPr>
          <w:rFonts w:asciiTheme="majorHAnsi" w:hAnsiTheme="majorHAnsi" w:cstheme="majorHAnsi"/>
          <w:b/>
          <w:noProof/>
          <w:sz w:val="20"/>
          <w:szCs w:val="20"/>
          <w:lang w:eastAsia="en-SG"/>
        </w:rPr>
      </w:pPr>
    </w:p>
    <w:p w14:paraId="5DFAA288" w14:textId="77777777" w:rsidR="00981556" w:rsidRPr="00886FAF" w:rsidRDefault="00FE0DE6" w:rsidP="00FD2657">
      <w:pPr>
        <w:spacing w:after="0" w:line="360" w:lineRule="auto"/>
        <w:rPr>
          <w:rFonts w:asciiTheme="majorHAnsi" w:hAnsiTheme="majorHAnsi" w:cstheme="majorBidi"/>
          <w:b/>
          <w:sz w:val="20"/>
          <w:szCs w:val="20"/>
          <w:u w:val="single"/>
          <w:rtl/>
        </w:rPr>
        <w:sectPr w:rsidR="00981556" w:rsidRPr="00886FAF" w:rsidSect="00681F50">
          <w:headerReference w:type="default" r:id="rId13"/>
          <w:footerReference w:type="default" r:id="rId14"/>
          <w:pgSz w:w="16840" w:h="11907" w:code="9"/>
          <w:pgMar w:top="1440" w:right="1440" w:bottom="1440" w:left="1440" w:header="709" w:footer="709" w:gutter="0"/>
          <w:pgNumType w:start="1"/>
          <w:cols w:space="708"/>
          <w:bidi/>
          <w:docGrid w:linePitch="360"/>
        </w:sectPr>
      </w:pPr>
      <w:r>
        <w:rPr>
          <w:rFonts w:asciiTheme="majorHAnsi" w:hAnsiTheme="majorHAnsi" w:cstheme="majorBidi" w:hint="cs"/>
          <w:b/>
          <w:noProof/>
          <w:sz w:val="20"/>
          <w:szCs w:val="20"/>
          <w:rtl/>
        </w:rPr>
        <w:drawing>
          <wp:inline distT="0" distB="0" distL="0" distR="0" wp14:anchorId="6BD7B15F" wp14:editId="35602073">
            <wp:extent cx="8408869" cy="3488217"/>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408869" cy="3488217"/>
                    </a:xfrm>
                    <a:prstGeom prst="rect">
                      <a:avLst/>
                    </a:prstGeom>
                  </pic:spPr>
                </pic:pic>
              </a:graphicData>
            </a:graphic>
          </wp:inline>
        </w:drawing>
      </w:r>
    </w:p>
    <w:p w14:paraId="733A35FC" w14:textId="77777777" w:rsidR="00981556" w:rsidRPr="00681F50" w:rsidRDefault="00FF2710" w:rsidP="00981556">
      <w:pPr>
        <w:spacing w:line="276" w:lineRule="auto"/>
        <w:rPr>
          <w:rFonts w:asciiTheme="majorHAnsi" w:hAnsiTheme="majorHAnsi" w:cstheme="majorBidi"/>
          <w:b/>
          <w:sz w:val="20"/>
          <w:szCs w:val="24"/>
          <w:u w:val="single"/>
          <w:rtl/>
        </w:rPr>
      </w:pPr>
      <w:r w:rsidRPr="00681F50">
        <w:rPr>
          <w:rFonts w:asciiTheme="majorHAnsi" w:hAnsiTheme="majorHAnsi" w:cstheme="majorBidi" w:hint="cs"/>
          <w:b/>
          <w:bCs/>
          <w:sz w:val="20"/>
          <w:szCs w:val="24"/>
          <w:u w:val="single"/>
          <w:rtl/>
        </w:rPr>
        <w:lastRenderedPageBreak/>
        <w:t>الملحق 2:</w:t>
      </w:r>
      <w:r w:rsidRPr="00681F50">
        <w:rPr>
          <w:rFonts w:asciiTheme="majorHAnsi" w:hAnsiTheme="majorHAnsi" w:cstheme="majorBidi"/>
          <w:b/>
          <w:bCs/>
          <w:sz w:val="20"/>
          <w:szCs w:val="24"/>
          <w:u w:val="single"/>
        </w:rPr>
        <w:t xml:space="preserve"> </w:t>
      </w:r>
      <w:r w:rsidRPr="00681F50">
        <w:rPr>
          <w:rFonts w:asciiTheme="majorHAnsi" w:hAnsiTheme="majorHAnsi" w:cstheme="majorBidi" w:hint="cs"/>
          <w:b/>
          <w:bCs/>
          <w:sz w:val="20"/>
          <w:szCs w:val="24"/>
          <w:u w:val="single"/>
          <w:rtl/>
        </w:rPr>
        <w:t>مقدمة لدورة الاستجابة الدولية للبحث والإنقاذ في المناطق الحضرية</w:t>
      </w:r>
    </w:p>
    <w:p w14:paraId="1B360B0C" w14:textId="77777777" w:rsidR="00981556" w:rsidRPr="00681F50" w:rsidRDefault="00981556" w:rsidP="00981556">
      <w:pPr>
        <w:spacing w:line="276" w:lineRule="auto"/>
        <w:rPr>
          <w:rFonts w:asciiTheme="majorHAnsi" w:hAnsiTheme="majorHAnsi" w:cstheme="majorBidi"/>
          <w:sz w:val="20"/>
          <w:szCs w:val="24"/>
          <w:rtl/>
        </w:rPr>
      </w:pPr>
      <w:r w:rsidRPr="00681F50">
        <w:rPr>
          <w:rFonts w:asciiTheme="majorHAnsi" w:hAnsiTheme="majorHAnsi" w:cstheme="majorBidi" w:hint="cs"/>
          <w:sz w:val="20"/>
          <w:szCs w:val="24"/>
          <w:rtl/>
        </w:rPr>
        <w:t>1.</w:t>
      </w:r>
      <w:r w:rsidRPr="00681F50">
        <w:rPr>
          <w:rFonts w:asciiTheme="majorHAnsi" w:hAnsiTheme="majorHAnsi" w:cstheme="majorBidi" w:hint="cs"/>
          <w:sz w:val="20"/>
          <w:szCs w:val="24"/>
          <w:rtl/>
        </w:rPr>
        <w:tab/>
        <w:t>تتكون الاستجابة الدولية للبحث والإنقاذ في المناطق الحضرية، من المراحل التالية: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981556" w:rsidRPr="00681F50" w14:paraId="7F820E46" w14:textId="77777777" w:rsidTr="00DA376D">
        <w:tc>
          <w:tcPr>
            <w:tcW w:w="9350" w:type="dxa"/>
          </w:tcPr>
          <w:p w14:paraId="035280A3" w14:textId="07DEBDF5" w:rsidR="00981556" w:rsidRPr="00681F50" w:rsidRDefault="00223A76" w:rsidP="00981556">
            <w:pPr>
              <w:keepNext/>
              <w:spacing w:line="276" w:lineRule="auto"/>
              <w:jc w:val="center"/>
              <w:rPr>
                <w:rFonts w:asciiTheme="majorHAnsi" w:eastAsiaTheme="minorHAnsi" w:hAnsiTheme="majorHAnsi" w:cstheme="majorBidi"/>
                <w:sz w:val="20"/>
                <w:szCs w:val="24"/>
                <w:rtl/>
              </w:rPr>
            </w:pPr>
            <w:r>
              <w:rPr>
                <w:noProof/>
                <w:szCs w:val="24"/>
              </w:rPr>
              <w:drawing>
                <wp:inline distT="0" distB="0" distL="0" distR="0" wp14:anchorId="072A18F4" wp14:editId="750BFDE9">
                  <wp:extent cx="4324350" cy="3438525"/>
                  <wp:effectExtent l="0" t="0" r="0" b="0"/>
                  <wp:docPr id="9"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0F1DA650" w14:textId="1C211C19" w:rsidR="00981556" w:rsidRPr="00681F50" w:rsidRDefault="00981556" w:rsidP="00981556">
            <w:pPr>
              <w:pStyle w:val="Caption"/>
              <w:spacing w:line="276" w:lineRule="auto"/>
              <w:rPr>
                <w:rFonts w:asciiTheme="majorHAnsi" w:eastAsiaTheme="minorHAnsi" w:hAnsiTheme="majorHAnsi" w:cstheme="majorBidi"/>
                <w:i w:val="0"/>
                <w:iCs w:val="0"/>
                <w:sz w:val="20"/>
                <w:szCs w:val="24"/>
                <w:rtl/>
              </w:rPr>
            </w:pPr>
            <w:r w:rsidRPr="00681F50">
              <w:rPr>
                <w:rFonts w:asciiTheme="majorHAnsi" w:hAnsiTheme="majorHAnsi" w:cstheme="majorBidi" w:hint="cs"/>
                <w:i w:val="0"/>
                <w:iCs w:val="0"/>
                <w:sz w:val="20"/>
                <w:szCs w:val="24"/>
                <w:rtl/>
              </w:rPr>
              <w:t xml:space="preserve">الشكل </w:t>
            </w:r>
            <w:r w:rsidRPr="00681F50">
              <w:rPr>
                <w:rFonts w:asciiTheme="majorHAnsi" w:hAnsiTheme="majorHAnsi" w:cstheme="majorBidi" w:hint="cs"/>
                <w:i w:val="0"/>
                <w:sz w:val="20"/>
                <w:szCs w:val="24"/>
                <w:rtl/>
              </w:rPr>
              <w:fldChar w:fldCharType="begin"/>
            </w:r>
            <w:r w:rsidRPr="00681F50">
              <w:rPr>
                <w:sz w:val="20"/>
                <w:szCs w:val="24"/>
                <w:rtl/>
              </w:rPr>
              <w:instrText xml:space="preserve"> </w:instrText>
            </w:r>
            <w:r w:rsidRPr="00681F50">
              <w:rPr>
                <w:rFonts w:asciiTheme="majorHAnsi" w:eastAsiaTheme="minorHAnsi" w:hAnsiTheme="majorHAnsi" w:cstheme="majorBidi" w:hint="cs"/>
                <w:i w:val="0"/>
                <w:sz w:val="20"/>
                <w:szCs w:val="24"/>
              </w:rPr>
              <w:instrText xml:space="preserve">SEQ Figure \* ARABIC </w:instrText>
            </w:r>
            <w:r w:rsidRPr="00681F50">
              <w:rPr>
                <w:rFonts w:asciiTheme="majorHAnsi" w:hAnsiTheme="majorHAnsi" w:cstheme="majorBidi" w:hint="cs"/>
                <w:i w:val="0"/>
                <w:sz w:val="20"/>
                <w:szCs w:val="24"/>
                <w:rtl/>
              </w:rPr>
              <w:fldChar w:fldCharType="separate"/>
            </w:r>
            <w:r w:rsidR="00F92A24">
              <w:rPr>
                <w:noProof/>
                <w:sz w:val="20"/>
                <w:szCs w:val="24"/>
                <w:rtl/>
              </w:rPr>
              <w:t>1</w:t>
            </w:r>
            <w:r w:rsidRPr="00681F50">
              <w:rPr>
                <w:rFonts w:asciiTheme="majorHAnsi" w:hAnsiTheme="majorHAnsi" w:cstheme="majorBidi" w:hint="cs"/>
                <w:i w:val="0"/>
                <w:sz w:val="20"/>
                <w:szCs w:val="24"/>
                <w:rtl/>
              </w:rPr>
              <w:fldChar w:fldCharType="end"/>
            </w:r>
            <w:r w:rsidRPr="00681F50">
              <w:rPr>
                <w:rFonts w:asciiTheme="majorHAnsi" w:hAnsiTheme="majorHAnsi" w:cstheme="majorBidi" w:hint="cs"/>
                <w:i w:val="0"/>
                <w:iCs w:val="0"/>
                <w:sz w:val="20"/>
                <w:szCs w:val="24"/>
                <w:rtl/>
              </w:rPr>
              <w:t>:</w:t>
            </w:r>
            <w:r w:rsidRPr="00681F50">
              <w:rPr>
                <w:rFonts w:asciiTheme="majorHAnsi" w:hAnsiTheme="majorHAnsi" w:cstheme="majorBidi"/>
                <w:i w:val="0"/>
                <w:iCs w:val="0"/>
                <w:sz w:val="20"/>
                <w:szCs w:val="24"/>
              </w:rPr>
              <w:t xml:space="preserve"> </w:t>
            </w:r>
            <w:r w:rsidRPr="00681F50">
              <w:rPr>
                <w:rFonts w:asciiTheme="majorHAnsi" w:hAnsiTheme="majorHAnsi" w:cstheme="majorBidi" w:hint="cs"/>
                <w:i w:val="0"/>
                <w:iCs w:val="0"/>
                <w:sz w:val="20"/>
                <w:szCs w:val="24"/>
                <w:rtl/>
              </w:rPr>
              <w:t>دورة الاستجابة الدولية للبحث والإنقاذ في المناطق الحضرية.</w:t>
            </w:r>
          </w:p>
        </w:tc>
      </w:tr>
    </w:tbl>
    <w:p w14:paraId="3B6A81A6" w14:textId="77777777" w:rsidR="00981556" w:rsidRPr="00681F50" w:rsidRDefault="00981556" w:rsidP="00981556">
      <w:pPr>
        <w:spacing w:line="276" w:lineRule="auto"/>
        <w:rPr>
          <w:rFonts w:asciiTheme="majorHAnsi" w:hAnsiTheme="majorHAnsi" w:cstheme="majorHAnsi"/>
          <w:sz w:val="20"/>
          <w:szCs w:val="24"/>
        </w:rPr>
      </w:pPr>
    </w:p>
    <w:p w14:paraId="7FFC9EA2" w14:textId="77777777" w:rsidR="00981556" w:rsidRPr="00681F50" w:rsidRDefault="00981556" w:rsidP="00981556">
      <w:pPr>
        <w:pStyle w:val="ListParagraph"/>
        <w:numPr>
          <w:ilvl w:val="0"/>
          <w:numId w:val="8"/>
        </w:numPr>
        <w:spacing w:line="276" w:lineRule="auto"/>
        <w:jc w:val="both"/>
        <w:rPr>
          <w:rFonts w:asciiTheme="majorHAnsi" w:hAnsiTheme="majorHAnsi" w:cstheme="majorBidi"/>
          <w:b/>
          <w:sz w:val="20"/>
          <w:szCs w:val="24"/>
          <w:rtl/>
        </w:rPr>
      </w:pPr>
      <w:r w:rsidRPr="00681F50">
        <w:rPr>
          <w:rFonts w:asciiTheme="majorHAnsi" w:hAnsiTheme="majorHAnsi" w:cstheme="majorBidi" w:hint="cs"/>
          <w:b/>
          <w:bCs/>
          <w:sz w:val="20"/>
          <w:szCs w:val="24"/>
          <w:rtl/>
        </w:rPr>
        <w:t>التأهب</w:t>
      </w:r>
    </w:p>
    <w:p w14:paraId="5FD9E724" w14:textId="77777777" w:rsidR="00981556" w:rsidRPr="00681F50" w:rsidRDefault="00981556" w:rsidP="00981556">
      <w:pPr>
        <w:pStyle w:val="ListParagraph"/>
        <w:spacing w:line="276" w:lineRule="auto"/>
        <w:jc w:val="both"/>
        <w:rPr>
          <w:rFonts w:asciiTheme="majorHAnsi" w:hAnsiTheme="majorHAnsi" w:cstheme="majorBidi"/>
          <w:sz w:val="20"/>
          <w:szCs w:val="24"/>
          <w:rtl/>
        </w:rPr>
      </w:pPr>
      <w:r w:rsidRPr="00681F50">
        <w:rPr>
          <w:rFonts w:asciiTheme="majorHAnsi" w:hAnsiTheme="majorHAnsi" w:cstheme="majorBidi" w:hint="cs"/>
          <w:sz w:val="20"/>
          <w:szCs w:val="24"/>
          <w:rtl/>
        </w:rPr>
        <w:t>مرحلة التأهب هي الفترة التي تقع بين الاستجابات للكوارث.</w:t>
      </w:r>
      <w:r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في هذه المرحلة، تتخذ فرق البحث والإنقاذ في المناطق الحضرية التدابير التحضيرية للتأكد من أنهم على أعلى مستوى ممكن من التأهب للانتشار.</w:t>
      </w:r>
      <w:r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ستقوم الفرق بإجراء تدريب وتمارين، واستعراض الدروس المستفادة من التجارب السابقة، وتحديث الإجراءات التشغيلية الموحدة حسب الاقتضاء، والتخطيط للاستجابات المستقبلية.</w:t>
      </w:r>
    </w:p>
    <w:p w14:paraId="45852B57" w14:textId="77777777" w:rsidR="00981556" w:rsidRPr="00681F50" w:rsidRDefault="00981556" w:rsidP="00981556">
      <w:pPr>
        <w:pStyle w:val="ListParagraph"/>
        <w:spacing w:line="276" w:lineRule="auto"/>
        <w:jc w:val="both"/>
        <w:rPr>
          <w:rFonts w:asciiTheme="majorHAnsi" w:hAnsiTheme="majorHAnsi" w:cstheme="majorHAnsi"/>
          <w:sz w:val="20"/>
          <w:szCs w:val="24"/>
        </w:rPr>
      </w:pPr>
    </w:p>
    <w:p w14:paraId="20DC8B97" w14:textId="77777777" w:rsidR="00981556" w:rsidRPr="00681F50" w:rsidRDefault="00981556" w:rsidP="00981556">
      <w:pPr>
        <w:pStyle w:val="ListParagraph"/>
        <w:numPr>
          <w:ilvl w:val="0"/>
          <w:numId w:val="8"/>
        </w:numPr>
        <w:spacing w:line="276" w:lineRule="auto"/>
        <w:jc w:val="both"/>
        <w:rPr>
          <w:rFonts w:asciiTheme="majorHAnsi" w:hAnsiTheme="majorHAnsi" w:cstheme="majorBidi"/>
          <w:b/>
          <w:sz w:val="20"/>
          <w:szCs w:val="24"/>
          <w:rtl/>
        </w:rPr>
      </w:pPr>
      <w:r w:rsidRPr="00681F50">
        <w:rPr>
          <w:rFonts w:asciiTheme="majorHAnsi" w:hAnsiTheme="majorHAnsi" w:cstheme="majorBidi" w:hint="cs"/>
          <w:b/>
          <w:bCs/>
          <w:sz w:val="20"/>
          <w:szCs w:val="24"/>
          <w:rtl/>
        </w:rPr>
        <w:t>التعبئة</w:t>
      </w:r>
    </w:p>
    <w:p w14:paraId="09E1990C" w14:textId="77777777" w:rsidR="00981556" w:rsidRPr="00681F50" w:rsidRDefault="00981556" w:rsidP="00981556">
      <w:pPr>
        <w:pStyle w:val="ListParagraph"/>
        <w:spacing w:line="276" w:lineRule="auto"/>
        <w:jc w:val="both"/>
        <w:rPr>
          <w:rFonts w:asciiTheme="majorHAnsi" w:hAnsiTheme="majorHAnsi" w:cstheme="majorBidi"/>
          <w:sz w:val="20"/>
          <w:szCs w:val="24"/>
          <w:rtl/>
        </w:rPr>
      </w:pPr>
      <w:r w:rsidRPr="00681F50">
        <w:rPr>
          <w:rFonts w:asciiTheme="majorHAnsi" w:hAnsiTheme="majorHAnsi" w:cstheme="majorBidi" w:hint="cs"/>
          <w:sz w:val="20"/>
          <w:szCs w:val="24"/>
          <w:rtl/>
        </w:rPr>
        <w:t>مرحلة التعبئة هي الفترة التي تلي حدوث كارثة مباشرة.</w:t>
      </w:r>
      <w:r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تستعد الفرق الدولية للبحث والإنقاذ في المناطق الحضرية للاستجابة والسفر لمساعدة البلد المتضرّر.</w:t>
      </w:r>
    </w:p>
    <w:p w14:paraId="2EB91091" w14:textId="77777777" w:rsidR="00981556" w:rsidRPr="00681F50" w:rsidRDefault="00981556" w:rsidP="00981556">
      <w:pPr>
        <w:pStyle w:val="ListParagraph"/>
        <w:spacing w:line="276" w:lineRule="auto"/>
        <w:jc w:val="both"/>
        <w:rPr>
          <w:rFonts w:asciiTheme="majorHAnsi" w:hAnsiTheme="majorHAnsi" w:cstheme="majorHAnsi"/>
          <w:sz w:val="20"/>
          <w:szCs w:val="24"/>
        </w:rPr>
      </w:pPr>
    </w:p>
    <w:p w14:paraId="0CBD4ECA" w14:textId="77777777" w:rsidR="00981556" w:rsidRPr="00681F50" w:rsidRDefault="00981556" w:rsidP="00981556">
      <w:pPr>
        <w:pStyle w:val="ListParagraph"/>
        <w:numPr>
          <w:ilvl w:val="0"/>
          <w:numId w:val="8"/>
        </w:numPr>
        <w:spacing w:line="276" w:lineRule="auto"/>
        <w:jc w:val="both"/>
        <w:rPr>
          <w:rFonts w:asciiTheme="majorHAnsi" w:hAnsiTheme="majorHAnsi" w:cstheme="majorBidi"/>
          <w:b/>
          <w:sz w:val="20"/>
          <w:szCs w:val="24"/>
          <w:rtl/>
        </w:rPr>
      </w:pPr>
      <w:r w:rsidRPr="00681F50">
        <w:rPr>
          <w:rFonts w:asciiTheme="majorHAnsi" w:hAnsiTheme="majorHAnsi" w:cstheme="majorBidi" w:hint="cs"/>
          <w:b/>
          <w:bCs/>
          <w:sz w:val="20"/>
          <w:szCs w:val="24"/>
          <w:rtl/>
        </w:rPr>
        <w:t>العمليات</w:t>
      </w:r>
    </w:p>
    <w:p w14:paraId="5075F839" w14:textId="63156B34" w:rsidR="00981556" w:rsidRDefault="00981556" w:rsidP="00981556">
      <w:pPr>
        <w:pStyle w:val="ListParagraph"/>
        <w:spacing w:line="276" w:lineRule="auto"/>
        <w:jc w:val="both"/>
        <w:rPr>
          <w:rFonts w:asciiTheme="majorHAnsi" w:hAnsiTheme="majorHAnsi" w:cstheme="majorBidi"/>
          <w:sz w:val="20"/>
          <w:szCs w:val="24"/>
        </w:rPr>
      </w:pPr>
      <w:r w:rsidRPr="00681F50">
        <w:rPr>
          <w:rFonts w:asciiTheme="majorHAnsi" w:hAnsiTheme="majorHAnsi" w:cstheme="majorBidi" w:hint="cs"/>
          <w:sz w:val="20"/>
          <w:szCs w:val="24"/>
          <w:rtl/>
        </w:rPr>
        <w:t xml:space="preserve">مرحلة العمليات هي الفترة التي تُجري فيها الفرق الدولية للبحث والإنقاذ في المناطق الحضرية عمليات البحث والإنقاذ في المناطق الحضرية في البلدان </w:t>
      </w:r>
      <w:r w:rsidR="006A6A65" w:rsidRPr="00681F50">
        <w:rPr>
          <w:rFonts w:asciiTheme="majorHAnsi" w:hAnsiTheme="majorHAnsi" w:cstheme="majorBidi" w:hint="cs"/>
          <w:sz w:val="20"/>
          <w:szCs w:val="24"/>
          <w:rtl/>
        </w:rPr>
        <w:t>المتضر</w:t>
      </w:r>
      <w:r w:rsidR="006A6A65">
        <w:rPr>
          <w:rFonts w:asciiTheme="majorHAnsi" w:hAnsiTheme="majorHAnsi" w:cstheme="majorBidi" w:hint="cs"/>
          <w:sz w:val="20"/>
          <w:szCs w:val="24"/>
          <w:rtl/>
        </w:rPr>
        <w:t>ّر</w:t>
      </w:r>
      <w:r w:rsidR="006A6A65" w:rsidRPr="00681F50">
        <w:rPr>
          <w:rFonts w:asciiTheme="majorHAnsi" w:hAnsiTheme="majorHAnsi" w:cstheme="majorBidi" w:hint="cs"/>
          <w:sz w:val="20"/>
          <w:szCs w:val="24"/>
          <w:rtl/>
        </w:rPr>
        <w:t>ة</w:t>
      </w:r>
      <w:r w:rsidRPr="00681F50">
        <w:rPr>
          <w:rFonts w:asciiTheme="majorHAnsi" w:hAnsiTheme="majorHAnsi" w:cstheme="majorBidi" w:hint="cs"/>
          <w:sz w:val="20"/>
          <w:szCs w:val="24"/>
          <w:rtl/>
        </w:rPr>
        <w:t>.</w:t>
      </w:r>
      <w:r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تبدأ العمليات بوصول فريق البحث والإنقاذ في المناطق الحضرية إلى مركز الاستقبال/ الترحيل في البلد المتضرّر، ثم التسجيل في مركز تنسيق العمليات في الموقع، وإرسال تقرير إلى الوكالة المحلية لإدارة الطوارئ (أو الهيئة الوطنية لإدارة الكوارث) ثم تنفيذ عمليات البحث والإنقاذ في المناطق الحضرية.</w:t>
      </w:r>
      <w:r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تنتهي المرحلة عند توجيه فريق البحث والإنقاذ في المناطق الحضرية بإيقاف تنفيذ عمليات البحث والإنقاذ في المناطق الحضرية.</w:t>
      </w:r>
    </w:p>
    <w:p w14:paraId="006C7ACD" w14:textId="2AFA11AE" w:rsidR="00223A76" w:rsidRDefault="00223A76">
      <w:pPr>
        <w:bidi w:val="0"/>
        <w:rPr>
          <w:rFonts w:asciiTheme="majorHAnsi" w:hAnsiTheme="majorHAnsi" w:cstheme="majorBidi"/>
          <w:sz w:val="20"/>
          <w:szCs w:val="24"/>
          <w:rtl/>
        </w:rPr>
      </w:pPr>
      <w:r>
        <w:rPr>
          <w:rFonts w:asciiTheme="majorHAnsi" w:hAnsiTheme="majorHAnsi" w:cstheme="majorBidi"/>
          <w:sz w:val="20"/>
          <w:szCs w:val="24"/>
          <w:rtl/>
        </w:rPr>
        <w:br w:type="page"/>
      </w:r>
    </w:p>
    <w:p w14:paraId="5685048B" w14:textId="77777777" w:rsidR="00223A76" w:rsidRPr="00681F50" w:rsidRDefault="00223A76" w:rsidP="00981556">
      <w:pPr>
        <w:pStyle w:val="ListParagraph"/>
        <w:spacing w:line="276" w:lineRule="auto"/>
        <w:jc w:val="both"/>
        <w:rPr>
          <w:rFonts w:asciiTheme="majorHAnsi" w:hAnsiTheme="majorHAnsi" w:cstheme="majorBidi"/>
          <w:sz w:val="20"/>
          <w:szCs w:val="24"/>
          <w:rtl/>
        </w:rPr>
      </w:pPr>
    </w:p>
    <w:p w14:paraId="35BC4489" w14:textId="77777777" w:rsidR="00981556" w:rsidRPr="00681F50" w:rsidRDefault="00981556" w:rsidP="00223A76">
      <w:pPr>
        <w:pStyle w:val="ListParagraph"/>
        <w:numPr>
          <w:ilvl w:val="0"/>
          <w:numId w:val="8"/>
        </w:numPr>
        <w:spacing w:line="276" w:lineRule="auto"/>
        <w:jc w:val="both"/>
        <w:rPr>
          <w:rFonts w:asciiTheme="majorHAnsi" w:hAnsiTheme="majorHAnsi" w:cstheme="majorBidi"/>
          <w:b/>
          <w:sz w:val="20"/>
          <w:szCs w:val="24"/>
          <w:rtl/>
        </w:rPr>
      </w:pPr>
      <w:r w:rsidRPr="00681F50">
        <w:rPr>
          <w:rFonts w:asciiTheme="majorHAnsi" w:hAnsiTheme="majorHAnsi" w:cstheme="majorBidi" w:hint="cs"/>
          <w:b/>
          <w:bCs/>
          <w:sz w:val="20"/>
          <w:szCs w:val="24"/>
          <w:rtl/>
        </w:rPr>
        <w:t>التسريح</w:t>
      </w:r>
    </w:p>
    <w:p w14:paraId="129E0A13" w14:textId="77777777" w:rsidR="00981556" w:rsidRPr="00681F50" w:rsidRDefault="00981556" w:rsidP="00981556">
      <w:pPr>
        <w:pStyle w:val="ListParagraph"/>
        <w:spacing w:line="276" w:lineRule="auto"/>
        <w:jc w:val="both"/>
        <w:rPr>
          <w:rFonts w:asciiTheme="majorHAnsi" w:hAnsiTheme="majorHAnsi" w:cstheme="majorHAnsi"/>
          <w:b/>
          <w:sz w:val="20"/>
          <w:szCs w:val="24"/>
        </w:rPr>
      </w:pPr>
    </w:p>
    <w:p w14:paraId="53F52742" w14:textId="77777777" w:rsidR="00981556" w:rsidRPr="00681F50" w:rsidRDefault="00981556" w:rsidP="00981556">
      <w:pPr>
        <w:pStyle w:val="ListParagraph"/>
        <w:spacing w:line="276" w:lineRule="auto"/>
        <w:jc w:val="both"/>
        <w:rPr>
          <w:rFonts w:asciiTheme="majorHAnsi" w:hAnsiTheme="majorHAnsi" w:cstheme="majorBidi"/>
          <w:sz w:val="20"/>
          <w:szCs w:val="24"/>
          <w:rtl/>
        </w:rPr>
      </w:pPr>
      <w:r w:rsidRPr="00681F50">
        <w:rPr>
          <w:rFonts w:asciiTheme="majorHAnsi" w:hAnsiTheme="majorHAnsi" w:cstheme="majorBidi" w:hint="cs"/>
          <w:sz w:val="20"/>
          <w:szCs w:val="24"/>
          <w:rtl/>
        </w:rPr>
        <w:t>مرحلة التسريح هي الفترة التي توجَّه فيها الفرق الدولية للبحث والإنقاذ في المناطق الحضرية بإيقاف عمليات البحث والإنقاذ في المناطق الحضرية.</w:t>
      </w:r>
      <w:r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تبدأ فرق البحث والإنقاذ في المناطق الحضرية بالانسحاب وتنسيق مغادرتهم من خلال خلية تنسيق البحث والإنقاذ في المناطق الحضرية، ومن ثم مغادرة البلد المتضرّر من خلال مركز الاستقبال والمغادرة.</w:t>
      </w:r>
    </w:p>
    <w:p w14:paraId="7EEFFD31" w14:textId="77777777" w:rsidR="00981556" w:rsidRPr="00681F50" w:rsidRDefault="00981556" w:rsidP="00981556">
      <w:pPr>
        <w:pStyle w:val="ListParagraph"/>
        <w:spacing w:line="276" w:lineRule="auto"/>
        <w:jc w:val="both"/>
        <w:rPr>
          <w:rFonts w:asciiTheme="majorHAnsi" w:hAnsiTheme="majorHAnsi" w:cstheme="majorHAnsi"/>
          <w:sz w:val="20"/>
          <w:szCs w:val="24"/>
        </w:rPr>
      </w:pPr>
    </w:p>
    <w:p w14:paraId="57D1486B" w14:textId="77777777" w:rsidR="00981556" w:rsidRPr="00681F50" w:rsidRDefault="00981556" w:rsidP="00223A76">
      <w:pPr>
        <w:pStyle w:val="ListParagraph"/>
        <w:numPr>
          <w:ilvl w:val="0"/>
          <w:numId w:val="8"/>
        </w:numPr>
        <w:spacing w:line="276" w:lineRule="auto"/>
        <w:jc w:val="both"/>
        <w:rPr>
          <w:rFonts w:asciiTheme="majorHAnsi" w:hAnsiTheme="majorHAnsi" w:cstheme="majorBidi"/>
          <w:b/>
          <w:sz w:val="20"/>
          <w:szCs w:val="24"/>
          <w:rtl/>
        </w:rPr>
      </w:pPr>
      <w:r w:rsidRPr="00681F50">
        <w:rPr>
          <w:rFonts w:asciiTheme="majorHAnsi" w:hAnsiTheme="majorHAnsi" w:cstheme="majorBidi" w:hint="cs"/>
          <w:b/>
          <w:bCs/>
          <w:sz w:val="20"/>
          <w:szCs w:val="24"/>
          <w:rtl/>
        </w:rPr>
        <w:t>ما بعد البعثة</w:t>
      </w:r>
    </w:p>
    <w:p w14:paraId="12D42863" w14:textId="77777777" w:rsidR="00981556" w:rsidRPr="00681F50" w:rsidRDefault="00981556" w:rsidP="00981556">
      <w:pPr>
        <w:pStyle w:val="ListParagraph"/>
        <w:spacing w:line="276" w:lineRule="auto"/>
        <w:jc w:val="both"/>
        <w:rPr>
          <w:rFonts w:asciiTheme="majorHAnsi" w:hAnsiTheme="majorHAnsi" w:cstheme="majorHAnsi"/>
          <w:b/>
          <w:sz w:val="20"/>
          <w:szCs w:val="24"/>
        </w:rPr>
      </w:pPr>
    </w:p>
    <w:p w14:paraId="701E0693" w14:textId="77777777" w:rsidR="003D12E4" w:rsidRPr="00681F50" w:rsidRDefault="00981556" w:rsidP="00981556">
      <w:pPr>
        <w:pStyle w:val="ListParagraph"/>
        <w:spacing w:after="0" w:line="276" w:lineRule="auto"/>
        <w:jc w:val="both"/>
        <w:rPr>
          <w:rFonts w:asciiTheme="majorHAnsi" w:hAnsiTheme="majorHAnsi" w:cstheme="majorBidi"/>
          <w:sz w:val="20"/>
          <w:szCs w:val="24"/>
          <w:rtl/>
        </w:rPr>
      </w:pPr>
      <w:r w:rsidRPr="00681F50">
        <w:rPr>
          <w:rFonts w:asciiTheme="majorHAnsi" w:hAnsiTheme="majorHAnsi" w:cstheme="majorBidi" w:hint="cs"/>
          <w:sz w:val="20"/>
          <w:szCs w:val="24"/>
          <w:rtl/>
        </w:rPr>
        <w:t>مرحلة ما بعد البعثة هي الفترة التي تأتي مباشرة عقب رجوع فريق البحث والإنقاذ في المناطق الحضرية إلى وطنه.</w:t>
      </w:r>
      <w:r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وفي هذه المرحلة، يُطلب من فريق البحث والإنقاذ في المناطق الحضرية إكمال وتسليم تقرير ما بعد البعثة واستعراض الدروس المستفادة لتحسين الفاعلية والكفاءة العامة للاستجابة للكوارث في المستقبل.</w:t>
      </w:r>
      <w:r w:rsidRPr="00681F50">
        <w:rPr>
          <w:rFonts w:asciiTheme="majorHAnsi" w:hAnsiTheme="majorHAnsi" w:cstheme="majorBidi"/>
          <w:sz w:val="20"/>
          <w:szCs w:val="24"/>
        </w:rPr>
        <w:t xml:space="preserve"> </w:t>
      </w:r>
      <w:r w:rsidRPr="00681F50">
        <w:rPr>
          <w:rFonts w:asciiTheme="majorHAnsi" w:hAnsiTheme="majorHAnsi" w:cstheme="majorBidi" w:hint="cs"/>
          <w:sz w:val="20"/>
          <w:szCs w:val="24"/>
          <w:rtl/>
        </w:rPr>
        <w:t>تندمج مرحلة ما بعد البعثة بصفة مستمرة في مرحلة التأهب.</w:t>
      </w:r>
    </w:p>
    <w:p w14:paraId="4AEF2079" w14:textId="77777777" w:rsidR="00981556" w:rsidRPr="00681F50" w:rsidRDefault="00981556" w:rsidP="00981556">
      <w:pPr>
        <w:spacing w:after="0" w:line="276" w:lineRule="auto"/>
        <w:jc w:val="both"/>
        <w:rPr>
          <w:rFonts w:asciiTheme="majorHAnsi" w:hAnsiTheme="majorHAnsi" w:cstheme="majorHAnsi"/>
          <w:sz w:val="20"/>
          <w:szCs w:val="24"/>
        </w:rPr>
      </w:pPr>
    </w:p>
    <w:p w14:paraId="52BDB186" w14:textId="2F3338E8" w:rsidR="00FF2710" w:rsidRPr="00681F50" w:rsidRDefault="00981556" w:rsidP="004C137E">
      <w:pPr>
        <w:spacing w:after="0" w:line="276" w:lineRule="auto"/>
        <w:jc w:val="both"/>
        <w:rPr>
          <w:rFonts w:asciiTheme="majorHAnsi" w:hAnsiTheme="majorHAnsi" w:cstheme="majorBidi"/>
          <w:b/>
          <w:sz w:val="20"/>
          <w:szCs w:val="24"/>
          <w:u w:val="single"/>
          <w:rtl/>
        </w:rPr>
      </w:pPr>
      <w:r w:rsidRPr="00681F50">
        <w:rPr>
          <w:rFonts w:asciiTheme="majorHAnsi" w:hAnsiTheme="majorHAnsi" w:cstheme="majorBidi" w:hint="cs"/>
          <w:sz w:val="20"/>
          <w:szCs w:val="24"/>
          <w:rtl/>
        </w:rPr>
        <w:t>2.</w:t>
      </w:r>
      <w:r w:rsidRPr="00681F50">
        <w:rPr>
          <w:rFonts w:asciiTheme="majorHAnsi" w:hAnsiTheme="majorHAnsi" w:cstheme="majorBidi" w:hint="cs"/>
          <w:sz w:val="20"/>
          <w:szCs w:val="24"/>
          <w:rtl/>
        </w:rPr>
        <w:tab/>
        <w:t xml:space="preserve">لمزيد من المعلومات، ارجع إلى "المبادئ التوجيهية للفريق الاستشاري الدولي للبحث والإنقاذ، المجلد 2، </w:t>
      </w:r>
      <w:r w:rsidR="00D5453F">
        <w:rPr>
          <w:rFonts w:asciiTheme="majorHAnsi" w:hAnsiTheme="majorHAnsi" w:cstheme="majorBidi"/>
          <w:sz w:val="20"/>
          <w:szCs w:val="24"/>
        </w:rPr>
        <w:br/>
      </w:r>
      <w:r w:rsidRPr="00681F50">
        <w:rPr>
          <w:rFonts w:asciiTheme="majorHAnsi" w:hAnsiTheme="majorHAnsi" w:cstheme="majorBidi" w:hint="cs"/>
          <w:sz w:val="20"/>
          <w:szCs w:val="24"/>
          <w:rtl/>
        </w:rPr>
        <w:t>الدليل (ب).</w:t>
      </w:r>
    </w:p>
    <w:p w14:paraId="7B685026" w14:textId="7CC54E34" w:rsidR="00EE6464" w:rsidRPr="00886FAF" w:rsidRDefault="00EE6464" w:rsidP="00FF2710">
      <w:pPr>
        <w:tabs>
          <w:tab w:val="left" w:pos="5520"/>
        </w:tabs>
        <w:rPr>
          <w:rFonts w:asciiTheme="majorHAnsi" w:hAnsiTheme="majorHAnsi" w:cstheme="majorBidi"/>
          <w:sz w:val="20"/>
          <w:szCs w:val="20"/>
          <w:rtl/>
        </w:rPr>
      </w:pPr>
    </w:p>
    <w:sectPr w:rsidR="00EE6464" w:rsidRPr="00886FAF" w:rsidSect="00681F50">
      <w:headerReference w:type="default" r:id="rId21"/>
      <w:footerReference w:type="default" r:id="rId22"/>
      <w:pgSz w:w="11907" w:h="16840" w:code="9"/>
      <w:pgMar w:top="1440" w:right="1440" w:bottom="1440" w:left="1440" w:header="709" w:footer="709" w:gutter="0"/>
      <w:pgNumType w:start="1"/>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2DB8C" w14:textId="77777777" w:rsidR="00100B04" w:rsidRDefault="00100B04" w:rsidP="008E104E">
      <w:pPr>
        <w:spacing w:after="0" w:line="240" w:lineRule="auto"/>
      </w:pPr>
      <w:r>
        <w:separator/>
      </w:r>
    </w:p>
  </w:endnote>
  <w:endnote w:type="continuationSeparator" w:id="0">
    <w:p w14:paraId="2E7ADBE7" w14:textId="77777777" w:rsidR="00100B04" w:rsidRDefault="00100B04" w:rsidP="008E1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4C1A8" w14:textId="77777777" w:rsidR="00237B24" w:rsidRPr="00D970BB" w:rsidRDefault="00237B24" w:rsidP="00237B24">
    <w:pPr>
      <w:pStyle w:val="Footer"/>
      <w:spacing w:before="240"/>
      <w:jc w:val="center"/>
      <w:rPr>
        <w:sz w:val="16"/>
        <w:rtl/>
      </w:rPr>
    </w:pPr>
    <w:r>
      <w:rPr>
        <w:rFonts w:hint="cs"/>
        <w:noProof/>
        <w:color w:val="808080" w:themeColor="background1" w:themeShade="80"/>
        <w:sz w:val="16"/>
        <w:rtl/>
      </w:rPr>
      <mc:AlternateContent>
        <mc:Choice Requires="wps">
          <w:drawing>
            <wp:anchor distT="0" distB="0" distL="114300" distR="114300" simplePos="0" relativeHeight="251661312" behindDoc="0" locked="0" layoutInCell="1" allowOverlap="1" wp14:anchorId="0925ECD0" wp14:editId="0EFAA4DB">
              <wp:simplePos x="0" y="0"/>
              <wp:positionH relativeFrom="column">
                <wp:posOffset>0</wp:posOffset>
              </wp:positionH>
              <wp:positionV relativeFrom="paragraph">
                <wp:posOffset>0</wp:posOffset>
              </wp:positionV>
              <wp:extent cx="5996763"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599676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8D694E9"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0" to="472.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" strokecolor="#5b9bd5 [3204]" strokeweight=".5pt">
              <v:stroke joinstyle="miter"/>
            </v:line>
          </w:pict>
        </mc:Fallback>
      </mc:AlternateContent>
    </w:r>
    <w:r>
      <w:rPr>
        <w:rFonts w:hint="cs"/>
        <w:color w:val="808080" w:themeColor="background1" w:themeShade="80"/>
        <w:sz w:val="16"/>
        <w:szCs w:val="16"/>
        <w:rtl/>
      </w:rPr>
      <w:t>مكتب الأمم المتحدة لتنسيق الشؤون الإنسانية (</w:t>
    </w:r>
    <w:proofErr w:type="spellStart"/>
    <w:r>
      <w:rPr>
        <w:rFonts w:hint="cs"/>
        <w:color w:val="808080" w:themeColor="background1" w:themeShade="80"/>
        <w:sz w:val="16"/>
        <w:szCs w:val="16"/>
        <w:rtl/>
      </w:rPr>
      <w:t>أوتشا</w:t>
    </w:r>
    <w:proofErr w:type="spellEnd"/>
    <w:r>
      <w:rPr>
        <w:rFonts w:hint="cs"/>
        <w:color w:val="808080" w:themeColor="background1" w:themeShade="80"/>
        <w:sz w:val="16"/>
        <w:szCs w:val="16"/>
        <w:rtl/>
      </w:rPr>
      <w:t>)</w:t>
    </w:r>
  </w:p>
  <w:p w14:paraId="75F5F8C9" w14:textId="77777777" w:rsidR="00237B24" w:rsidRPr="00D970BB" w:rsidRDefault="00237B24" w:rsidP="00237B24">
    <w:pPr>
      <w:pStyle w:val="Footer"/>
      <w:jc w:val="center"/>
      <w:rPr>
        <w:color w:val="0070C0"/>
        <w:sz w:val="16"/>
        <w:rtl/>
      </w:rPr>
    </w:pPr>
    <w:r>
      <w:rPr>
        <w:color w:val="0070C0"/>
        <w:sz w:val="16"/>
        <w:szCs w:val="16"/>
      </w:rPr>
      <w:t>www.unocha.org</w:t>
    </w:r>
  </w:p>
  <w:p w14:paraId="78561E0B" w14:textId="77777777" w:rsidR="005954DF" w:rsidRDefault="005954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6EC6C" w14:textId="26F0BF66" w:rsidR="002B484C" w:rsidRPr="002B484C" w:rsidRDefault="00C45B8B">
    <w:pPr>
      <w:pStyle w:val="Footer"/>
      <w:jc w:val="center"/>
      <w:rPr>
        <w:rFonts w:ascii="Times New Roman" w:hAnsi="Times New Roman" w:cs="Arial"/>
        <w:szCs w:val="24"/>
        <w:rtl/>
      </w:rPr>
    </w:pPr>
    <w:r>
      <w:rPr>
        <w:rFonts w:hint="cs"/>
        <w:noProof/>
        <w:color w:val="0070C0"/>
        <w:szCs w:val="20"/>
        <w:rtl/>
      </w:rPr>
      <mc:AlternateContent>
        <mc:Choice Requires="wps">
          <w:drawing>
            <wp:anchor distT="0" distB="0" distL="114300" distR="114300" simplePos="0" relativeHeight="251667456" behindDoc="0" locked="0" layoutInCell="1" allowOverlap="1" wp14:anchorId="5B7D1D5B" wp14:editId="50688140">
              <wp:simplePos x="0" y="0"/>
              <wp:positionH relativeFrom="margin">
                <wp:posOffset>0</wp:posOffset>
              </wp:positionH>
              <wp:positionV relativeFrom="paragraph">
                <wp:posOffset>-171612</wp:posOffset>
              </wp:positionV>
              <wp:extent cx="8856000" cy="0"/>
              <wp:effectExtent l="0" t="0" r="0" b="0"/>
              <wp:wrapNone/>
              <wp:docPr id="7" name="Straight Connector 7"/>
              <wp:cNvGraphicFramePr/>
              <a:graphic xmlns:a="http://schemas.openxmlformats.org/drawingml/2006/main">
                <a:graphicData uri="http://schemas.microsoft.com/office/word/2010/wordprocessingShape">
                  <wps:wsp>
                    <wps:cNvCnPr/>
                    <wps:spPr>
                      <a:xfrm flipV="1">
                        <a:off x="0" y="0"/>
                        <a:ext cx="885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46FB4D" id="Straight Connector 7" o:spid="_x0000_s1026" style="position:absolute;flip:y;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13.5pt" to="697.3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" strokecolor="#5b9bd5 [3204]" strokeweight=".5pt">
              <v:stroke joinstyle="miter"/>
              <w10:wrap anchorx="margin"/>
            </v:line>
          </w:pict>
        </mc:Fallback>
      </mc:AlternateContent>
    </w:r>
    <w:sdt>
      <w:sdtPr>
        <w:rPr>
          <w:rFonts w:ascii="Times New Roman" w:hAnsi="Times New Roman" w:cs="Times New Roman"/>
          <w:szCs w:val="24"/>
          <w:rtl/>
        </w:rPr>
        <w:id w:val="-202791925"/>
        <w:docPartObj>
          <w:docPartGallery w:val="Page Numbers (Bottom of Page)"/>
          <w:docPartUnique/>
        </w:docPartObj>
      </w:sdtPr>
      <w:sdtEndPr>
        <w:rPr>
          <w:noProof/>
        </w:rPr>
      </w:sdtEndPr>
      <w:sdtContent>
        <w:r>
          <w:t xml:space="preserve"> </w:t>
        </w:r>
        <w:r>
          <w:rPr>
            <w:rFonts w:hint="cs"/>
            <w:color w:val="808080" w:themeColor="background1" w:themeShade="80"/>
            <w:sz w:val="16"/>
            <w:szCs w:val="16"/>
            <w:rtl/>
          </w:rPr>
          <w:t>مكتب الأمم المتحدة لتنسيق الشؤون الإنسانية (</w:t>
        </w:r>
        <w:proofErr w:type="spellStart"/>
        <w:r>
          <w:rPr>
            <w:rFonts w:hint="cs"/>
            <w:color w:val="808080" w:themeColor="background1" w:themeShade="80"/>
            <w:sz w:val="16"/>
            <w:szCs w:val="16"/>
            <w:rtl/>
          </w:rPr>
          <w:t>أوتشا</w:t>
        </w:r>
        <w:proofErr w:type="spellEnd"/>
        <w:r>
          <w:rPr>
            <w:rFonts w:hint="cs"/>
            <w:color w:val="808080" w:themeColor="background1" w:themeShade="80"/>
            <w:sz w:val="16"/>
            <w:szCs w:val="16"/>
            <w:rtl/>
          </w:rPr>
          <w:t xml:space="preserve">) </w:t>
        </w:r>
        <w:r>
          <w:rPr>
            <w:rFonts w:hint="cs"/>
            <w:color w:val="808080" w:themeColor="background1" w:themeShade="80"/>
            <w:sz w:val="16"/>
            <w:szCs w:val="16"/>
            <w:rtl/>
          </w:rPr>
          <w:cr/>
        </w:r>
        <w:r>
          <w:rPr>
            <w:color w:val="0070C0"/>
            <w:sz w:val="16"/>
            <w:szCs w:val="16"/>
          </w:rPr>
          <w:t xml:space="preserve">www.unocha.org </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007D" w14:textId="77777777" w:rsidR="00D5453F" w:rsidRPr="00D970BB" w:rsidRDefault="00D5453F" w:rsidP="00D5453F">
    <w:pPr>
      <w:pStyle w:val="Footer"/>
      <w:spacing w:before="240"/>
      <w:jc w:val="center"/>
      <w:rPr>
        <w:sz w:val="16"/>
        <w:rtl/>
      </w:rPr>
    </w:pPr>
    <w:r>
      <w:rPr>
        <w:rFonts w:hint="cs"/>
        <w:noProof/>
        <w:color w:val="808080" w:themeColor="background1" w:themeShade="80"/>
        <w:sz w:val="16"/>
        <w:rtl/>
      </w:rPr>
      <mc:AlternateContent>
        <mc:Choice Requires="wps">
          <w:drawing>
            <wp:anchor distT="0" distB="0" distL="114300" distR="114300" simplePos="0" relativeHeight="251671552" behindDoc="0" locked="0" layoutInCell="1" allowOverlap="1" wp14:anchorId="16444574" wp14:editId="54292844">
              <wp:simplePos x="0" y="0"/>
              <wp:positionH relativeFrom="column">
                <wp:posOffset>0</wp:posOffset>
              </wp:positionH>
              <wp:positionV relativeFrom="paragraph">
                <wp:posOffset>0</wp:posOffset>
              </wp:positionV>
              <wp:extent cx="5996763"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99676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652DB2" id="Straight Connector 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0,0" to="472.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" strokecolor="#5b9bd5 [3204]" strokeweight=".5pt">
              <v:stroke joinstyle="miter"/>
            </v:line>
          </w:pict>
        </mc:Fallback>
      </mc:AlternateContent>
    </w:r>
    <w:r>
      <w:rPr>
        <w:rFonts w:hint="cs"/>
        <w:color w:val="808080" w:themeColor="background1" w:themeShade="80"/>
        <w:sz w:val="16"/>
        <w:szCs w:val="16"/>
        <w:rtl/>
      </w:rPr>
      <w:t>مكتب الأمم المتحدة لتنسيق الشؤون الإنسانية (</w:t>
    </w:r>
    <w:proofErr w:type="spellStart"/>
    <w:r>
      <w:rPr>
        <w:rFonts w:hint="cs"/>
        <w:color w:val="808080" w:themeColor="background1" w:themeShade="80"/>
        <w:sz w:val="16"/>
        <w:szCs w:val="16"/>
        <w:rtl/>
      </w:rPr>
      <w:t>أوتشا</w:t>
    </w:r>
    <w:proofErr w:type="spellEnd"/>
    <w:r>
      <w:rPr>
        <w:rFonts w:hint="cs"/>
        <w:color w:val="808080" w:themeColor="background1" w:themeShade="80"/>
        <w:sz w:val="16"/>
        <w:szCs w:val="16"/>
        <w:rtl/>
      </w:rPr>
      <w:t>)</w:t>
    </w:r>
  </w:p>
  <w:p w14:paraId="1708CFD7" w14:textId="49FA8A3A" w:rsidR="002B484C" w:rsidRPr="00D5453F" w:rsidRDefault="00D5453F" w:rsidP="00D5453F">
    <w:pPr>
      <w:pStyle w:val="Footer"/>
      <w:jc w:val="center"/>
      <w:rPr>
        <w:color w:val="0070C0"/>
        <w:sz w:val="16"/>
      </w:rPr>
    </w:pPr>
    <w:r>
      <w:rPr>
        <w:color w:val="0070C0"/>
        <w:sz w:val="16"/>
        <w:szCs w:val="16"/>
      </w:rPr>
      <w:t>www.unocha.org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43463" w14:textId="77777777" w:rsidR="00100B04" w:rsidRDefault="00100B04" w:rsidP="008E104E">
      <w:pPr>
        <w:spacing w:after="0" w:line="240" w:lineRule="auto"/>
      </w:pPr>
      <w:r>
        <w:separator/>
      </w:r>
    </w:p>
  </w:footnote>
  <w:footnote w:type="continuationSeparator" w:id="0">
    <w:p w14:paraId="74C3CDE1" w14:textId="77777777" w:rsidR="00100B04" w:rsidRDefault="00100B04" w:rsidP="008E104E">
      <w:pPr>
        <w:spacing w:after="0" w:line="240" w:lineRule="auto"/>
      </w:pPr>
      <w:r>
        <w:continuationSeparator/>
      </w:r>
    </w:p>
  </w:footnote>
  <w:footnote w:id="1">
    <w:p w14:paraId="4174B061" w14:textId="77777777" w:rsidR="00346CA6" w:rsidRPr="00886FAF" w:rsidRDefault="00346CA6" w:rsidP="00346CA6">
      <w:pPr>
        <w:pStyle w:val="FootnoteText"/>
        <w:spacing w:line="276" w:lineRule="auto"/>
        <w:jc w:val="both"/>
        <w:rPr>
          <w:rFonts w:asciiTheme="majorHAnsi" w:hAnsiTheme="majorHAnsi" w:cstheme="majorBidi"/>
          <w:rtl/>
        </w:rPr>
      </w:pPr>
      <w:r>
        <w:rPr>
          <w:rStyle w:val="FootnoteReference"/>
          <w:rFonts w:asciiTheme="majorHAnsi" w:hAnsiTheme="majorHAnsi" w:cstheme="majorHAnsi"/>
        </w:rPr>
        <w:footnoteRef/>
      </w:r>
      <w:r>
        <w:rPr>
          <w:rFonts w:asciiTheme="majorHAnsi" w:hAnsiTheme="majorHAnsi" w:cstheme="majorBidi" w:hint="cs"/>
          <w:rtl/>
        </w:rPr>
        <w:t xml:space="preserve"> تشكّل الفريق الاستشاري الدولي للبحث والإنقاذ بغية تسهيل التنسيق بين الفرق الدولية للبحث والإنقاذ في المناطق الحضرية عند الاستجابة للزلازل، فضلاً عن العمل على وضع الحد الأدنى للمعايير الدولية لفرق البحث والإنقاذ في المناطق الحضرية.</w:t>
      </w:r>
      <w:r>
        <w:rPr>
          <w:rFonts w:asciiTheme="majorHAnsi" w:hAnsiTheme="majorHAnsi" w:cstheme="majorBidi"/>
        </w:rPr>
        <w:t xml:space="preserve"> </w:t>
      </w:r>
      <w:r>
        <w:rPr>
          <w:rFonts w:asciiTheme="majorHAnsi" w:hAnsiTheme="majorHAnsi" w:cstheme="majorBidi" w:hint="cs"/>
          <w:rtl/>
        </w:rPr>
        <w:t>وكجزء من جهود إشراك مجتمع الفريق الاستشاري الدولي للبحث والإنقاذ الكبير باستمرار، يُعقد اجتماع الفريق التوجيهي التابع للفريق الاستشاري الدولي للبحث والإنقاذ لتقديم المستجدات للتشاور حول القرارات الحاسمة التي تشمل المجتمع بأسره.</w:t>
      </w:r>
    </w:p>
  </w:footnote>
  <w:footnote w:id="2">
    <w:p w14:paraId="49292F78" w14:textId="77777777" w:rsidR="00346CA6" w:rsidRPr="00886FAF" w:rsidRDefault="00346CA6" w:rsidP="00346CA6">
      <w:pPr>
        <w:pStyle w:val="FootnoteText"/>
        <w:spacing w:line="276" w:lineRule="auto"/>
        <w:jc w:val="both"/>
        <w:rPr>
          <w:rFonts w:asciiTheme="majorHAnsi" w:hAnsiTheme="majorHAnsi" w:cstheme="majorBidi"/>
          <w:rtl/>
        </w:rPr>
      </w:pPr>
      <w:r>
        <w:rPr>
          <w:rStyle w:val="FootnoteReference"/>
          <w:rFonts w:asciiTheme="majorHAnsi" w:hAnsiTheme="majorHAnsi" w:cstheme="majorHAnsi"/>
        </w:rPr>
        <w:footnoteRef/>
      </w:r>
      <w:r>
        <w:rPr>
          <w:rFonts w:asciiTheme="majorHAnsi" w:hAnsiTheme="majorHAnsi" w:cstheme="majorBidi" w:hint="cs"/>
          <w:rtl/>
        </w:rPr>
        <w:t xml:space="preserve"> ستخضع محتويات المبادئ التوجيهية للفريق الاستشاري الدولي للبحث والإنقاذ للمراجعة المستمرة مرة كل خمس سنوات.</w:t>
      </w:r>
      <w:r>
        <w:rPr>
          <w:rFonts w:asciiTheme="majorHAnsi" w:hAnsiTheme="majorHAnsi" w:cstheme="majorBidi"/>
        </w:rPr>
        <w:t xml:space="preserve"> </w:t>
      </w:r>
      <w:r>
        <w:rPr>
          <w:rFonts w:asciiTheme="majorHAnsi" w:hAnsiTheme="majorHAnsi" w:cstheme="majorBidi" w:hint="cs"/>
          <w:rtl/>
        </w:rPr>
        <w:t>ويُتيح إجراء الفصل مراجعة/ تحديث المحتويات الواردة في الملاحظات التوجيهية عند الضرورة.</w:t>
      </w:r>
    </w:p>
  </w:footnote>
  <w:footnote w:id="3">
    <w:p w14:paraId="44668A24" w14:textId="05F5F7D5" w:rsidR="008B316B" w:rsidRPr="00886FAF" w:rsidRDefault="008B316B" w:rsidP="00886FAF">
      <w:pPr>
        <w:pStyle w:val="FootnoteText"/>
        <w:spacing w:line="276" w:lineRule="auto"/>
        <w:jc w:val="both"/>
        <w:rPr>
          <w:rFonts w:asciiTheme="majorHAnsi" w:hAnsiTheme="majorHAnsi" w:cstheme="majorBidi"/>
          <w:rtl/>
        </w:rPr>
      </w:pPr>
      <w:r>
        <w:rPr>
          <w:rStyle w:val="FootnoteReference"/>
          <w:rFonts w:asciiTheme="majorHAnsi" w:hAnsiTheme="majorHAnsi" w:cstheme="majorHAnsi"/>
        </w:rPr>
        <w:footnoteRef/>
      </w:r>
      <w:r>
        <w:rPr>
          <w:rFonts w:asciiTheme="majorHAnsi" w:hAnsiTheme="majorHAnsi" w:cstheme="majorBidi" w:hint="cs"/>
          <w:rtl/>
        </w:rPr>
        <w:t xml:space="preserve"> تمت المصادقة على الفئات الخمس المستقاة من المبادئ التوجيهية بعنوان "دورة الاستجابة الدولية للبحث والإنقاذ في المناطق الحضرية" باعتبارها فئات لمكتبة المراجع التقنية في أثناء اجتماع الفريق التوجيهي التابع للفريق الاستشاري الدولي للبحث والإنقاذ في عام 2019</w:t>
      </w:r>
      <w:r w:rsidR="005517F3">
        <w:rPr>
          <w:rFonts w:asciiTheme="majorHAnsi" w:hAnsiTheme="majorHAnsi" w:cstheme="majorBidi" w:hint="cs"/>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048654206"/>
      <w:docPartObj>
        <w:docPartGallery w:val="Page Numbers (Top of Page)"/>
        <w:docPartUnique/>
      </w:docPartObj>
    </w:sdtPr>
    <w:sdtEndPr>
      <w:rPr>
        <w:noProof/>
        <w:color w:val="0070C0"/>
      </w:rPr>
    </w:sdtEndPr>
    <w:sdtContent>
      <w:p w14:paraId="08D07E10" w14:textId="77777777" w:rsidR="005954DF" w:rsidRPr="00D970BB" w:rsidRDefault="005954DF" w:rsidP="005954DF">
        <w:pPr>
          <w:pStyle w:val="Header"/>
          <w:jc w:val="right"/>
          <w:rPr>
            <w:color w:val="0070C0"/>
            <w:szCs w:val="20"/>
            <w:rtl/>
          </w:rPr>
        </w:pPr>
        <w:r>
          <w:rPr>
            <w:rFonts w:hint="cs"/>
            <w:noProof/>
            <w:color w:val="0070C0"/>
            <w:szCs w:val="20"/>
            <w:rtl/>
          </w:rPr>
          <mc:AlternateContent>
            <mc:Choice Requires="wps">
              <w:drawing>
                <wp:anchor distT="0" distB="0" distL="114300" distR="114300" simplePos="0" relativeHeight="251659264" behindDoc="0" locked="0" layoutInCell="1" allowOverlap="1" wp14:anchorId="0C64B60F" wp14:editId="0EA91F64">
                  <wp:simplePos x="0" y="0"/>
                  <wp:positionH relativeFrom="margin">
                    <wp:posOffset>31750</wp:posOffset>
                  </wp:positionH>
                  <wp:positionV relativeFrom="paragraph">
                    <wp:posOffset>222250</wp:posOffset>
                  </wp:positionV>
                  <wp:extent cx="5894705" cy="25400"/>
                  <wp:effectExtent l="0" t="0" r="29845" b="31750"/>
                  <wp:wrapNone/>
                  <wp:docPr id="16" name="Straight Connector 16"/>
                  <wp:cNvGraphicFramePr/>
                  <a:graphic xmlns:a="http://schemas.openxmlformats.org/drawingml/2006/main">
                    <a:graphicData uri="http://schemas.microsoft.com/office/word/2010/wordprocessingShape">
                      <wps:wsp>
                        <wps:cNvCnPr/>
                        <wps:spPr>
                          <a:xfrm flipV="1">
                            <a:off x="0" y="0"/>
                            <a:ext cx="5894705" cy="25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70A0BE" id="Straight Connector 16"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pt,17.5pt" to="466.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" strokecolor="#5b9bd5 [3204]" strokeweight=".5pt">
                  <v:stroke joinstyle="miter"/>
                  <w10:wrap anchorx="margin"/>
                </v:line>
              </w:pict>
            </mc:Fallback>
          </mc:AlternateContent>
        </w:r>
        <w:r w:rsidRPr="00111F3F">
          <w:rPr>
            <w:rFonts w:hint="cs"/>
            <w:color w:val="0070C0"/>
            <w:sz w:val="18"/>
            <w:rtl/>
          </w:rPr>
          <w:fldChar w:fldCharType="begin"/>
        </w:r>
        <w:r>
          <w:rPr>
            <w:rtl/>
          </w:rPr>
          <w:instrText xml:space="preserve"> </w:instrText>
        </w:r>
        <w:r w:rsidRPr="00111F3F">
          <w:rPr>
            <w:rFonts w:hint="cs"/>
            <w:color w:val="0070C0"/>
            <w:sz w:val="18"/>
          </w:rPr>
          <w:instrText xml:space="preserve">PAGE   \* MERGEFORMAT </w:instrText>
        </w:r>
        <w:r w:rsidRPr="00111F3F">
          <w:rPr>
            <w:rFonts w:hint="cs"/>
            <w:color w:val="0070C0"/>
            <w:sz w:val="18"/>
            <w:rtl/>
          </w:rPr>
          <w:fldChar w:fldCharType="separate"/>
        </w:r>
        <w:r w:rsidR="009314C1">
          <w:rPr>
            <w:rFonts w:hint="cs"/>
            <w:color w:val="0070C0"/>
            <w:sz w:val="18"/>
            <w:rtl/>
          </w:rPr>
          <w:t>3</w:t>
        </w:r>
        <w:r w:rsidRPr="00111F3F">
          <w:rPr>
            <w:rFonts w:hint="cs"/>
            <w:color w:val="0070C0"/>
            <w:sz w:val="18"/>
            <w:rtl/>
          </w:rPr>
          <w:fldChar w:fldCharType="end"/>
        </w:r>
      </w:p>
    </w:sdtContent>
  </w:sdt>
  <w:p w14:paraId="4180DE2A" w14:textId="77777777" w:rsidR="007E18D6" w:rsidRDefault="007E18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472181139"/>
      <w:docPartObj>
        <w:docPartGallery w:val="Page Numbers (Top of Page)"/>
        <w:docPartUnique/>
      </w:docPartObj>
    </w:sdtPr>
    <w:sdtEndPr>
      <w:rPr>
        <w:noProof/>
        <w:color w:val="0070C0"/>
      </w:rPr>
    </w:sdtEndPr>
    <w:sdtContent>
      <w:p w14:paraId="5984A330" w14:textId="0521AA8A" w:rsidR="00FF2710" w:rsidRPr="00FF2710" w:rsidRDefault="00C45B8B" w:rsidP="00FF2710">
        <w:pPr>
          <w:pStyle w:val="Header"/>
          <w:jc w:val="right"/>
          <w:rPr>
            <w:rFonts w:asciiTheme="majorHAnsi" w:hAnsiTheme="majorHAnsi" w:cstheme="majorBidi"/>
            <w:noProof/>
            <w:color w:val="0070C0"/>
            <w:sz w:val="18"/>
            <w:szCs w:val="20"/>
            <w:rtl/>
          </w:rPr>
        </w:pPr>
        <w:r>
          <w:rPr>
            <w:rFonts w:asciiTheme="majorHAnsi" w:hAnsiTheme="majorHAnsi" w:cstheme="majorBidi" w:hint="cs"/>
            <w:noProof/>
            <w:color w:val="0070C0"/>
            <w:sz w:val="18"/>
            <w:szCs w:val="20"/>
            <w:rtl/>
          </w:rPr>
          <mc:AlternateContent>
            <mc:Choice Requires="wps">
              <w:drawing>
                <wp:anchor distT="0" distB="0" distL="114300" distR="114300" simplePos="0" relativeHeight="251663360" behindDoc="0" locked="0" layoutInCell="1" allowOverlap="1" wp14:anchorId="40932F5D" wp14:editId="698CD966">
                  <wp:simplePos x="0" y="0"/>
                  <wp:positionH relativeFrom="margin">
                    <wp:posOffset>31750</wp:posOffset>
                  </wp:positionH>
                  <wp:positionV relativeFrom="paragraph">
                    <wp:posOffset>222250</wp:posOffset>
                  </wp:positionV>
                  <wp:extent cx="8856000" cy="0"/>
                  <wp:effectExtent l="0" t="0" r="21590" b="19050"/>
                  <wp:wrapNone/>
                  <wp:docPr id="3" name="Straight Connector 3"/>
                  <wp:cNvGraphicFramePr/>
                  <a:graphic xmlns:a="http://schemas.openxmlformats.org/drawingml/2006/main">
                    <a:graphicData uri="http://schemas.microsoft.com/office/word/2010/wordprocessingShape">
                      <wps:wsp>
                        <wps:cNvCnPr/>
                        <wps:spPr>
                          <a:xfrm flipV="1">
                            <a:off x="0" y="0"/>
                            <a:ext cx="885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F640E5" id="Straight Connector 3" o:spid="_x0000_s1026" style="position:absolute;flip: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pt,17.5pt" to="699.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" strokecolor="#5b9bd5 [3204]" strokeweight=".5pt">
                  <v:stroke joinstyle="miter"/>
                  <w10:wrap anchorx="margin"/>
                </v:line>
              </w:pict>
            </mc:Fallback>
          </mc:AlternateContent>
        </w:r>
        <w:r>
          <w:rPr>
            <w:rFonts w:asciiTheme="majorHAnsi" w:hAnsiTheme="majorHAnsi" w:cstheme="majorBidi"/>
            <w:color w:val="0070C0"/>
            <w:sz w:val="18"/>
            <w:szCs w:val="18"/>
          </w:rPr>
          <w:t xml:space="preserve"> </w:t>
        </w:r>
        <w:sdt>
          <w:sdtPr>
            <w:rPr>
              <w:rFonts w:asciiTheme="majorHAnsi" w:hAnsiTheme="majorHAnsi" w:cstheme="majorHAnsi"/>
              <w:noProof/>
              <w:color w:val="0070C0"/>
              <w:sz w:val="18"/>
              <w:szCs w:val="20"/>
              <w:rtl/>
            </w:rPr>
            <w:id w:val="1804042248"/>
            <w:docPartObj>
              <w:docPartGallery w:val="Page Numbers (Top of Page)"/>
              <w:docPartUnique/>
            </w:docPartObj>
          </w:sdtPr>
          <w:sdtContent>
            <w:r>
              <w:rPr>
                <w:rFonts w:asciiTheme="majorHAnsi" w:hAnsiTheme="majorHAnsi" w:cstheme="majorBidi"/>
                <w:color w:val="0070C0"/>
                <w:sz w:val="18"/>
                <w:szCs w:val="18"/>
              </w:rPr>
              <w:t>A</w:t>
            </w:r>
            <w:r w:rsidR="00D5453F">
              <w:rPr>
                <w:rFonts w:asciiTheme="majorHAnsi" w:hAnsiTheme="majorHAnsi" w:cstheme="majorBidi"/>
                <w:color w:val="0070C0"/>
                <w:sz w:val="18"/>
              </w:rPr>
              <w:t>1</w:t>
            </w:r>
            <w:r>
              <w:rPr>
                <w:rFonts w:asciiTheme="majorHAnsi" w:hAnsiTheme="majorHAnsi" w:cstheme="majorBidi"/>
                <w:color w:val="0070C0"/>
                <w:sz w:val="18"/>
                <w:szCs w:val="18"/>
              </w:rPr>
              <w:t>-</w:t>
            </w:r>
            <w:r w:rsidR="00D5453F">
              <w:rPr>
                <w:rFonts w:asciiTheme="majorHAnsi" w:hAnsiTheme="majorHAnsi" w:cstheme="majorBidi"/>
                <w:color w:val="0070C0"/>
                <w:sz w:val="18"/>
                <w:szCs w:val="18"/>
              </w:rPr>
              <w:t>1</w:t>
            </w:r>
          </w:sdtContent>
        </w:sdt>
      </w:p>
      <w:p w14:paraId="507558FB" w14:textId="77777777" w:rsidR="00C45B8B" w:rsidRPr="00D970BB" w:rsidRDefault="00000000" w:rsidP="00C45B8B">
        <w:pPr>
          <w:pStyle w:val="Header"/>
          <w:jc w:val="right"/>
          <w:rPr>
            <w:color w:val="0070C0"/>
            <w:szCs w:val="20"/>
          </w:rPr>
        </w:pPr>
      </w:p>
    </w:sdtContent>
  </w:sdt>
  <w:p w14:paraId="40E36848" w14:textId="77777777" w:rsidR="00C45B8B" w:rsidRDefault="00C45B8B" w:rsidP="00C45B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428617522"/>
      <w:docPartObj>
        <w:docPartGallery w:val="Page Numbers (Top of Page)"/>
        <w:docPartUnique/>
      </w:docPartObj>
    </w:sdtPr>
    <w:sdtEndPr>
      <w:rPr>
        <w:noProof/>
        <w:color w:val="0070C0"/>
      </w:rPr>
    </w:sdtEndPr>
    <w:sdtContent>
      <w:p w14:paraId="3AE48542" w14:textId="0930C647" w:rsidR="00FF2710" w:rsidRPr="00FF2710" w:rsidRDefault="00FF2710" w:rsidP="00FF2710">
        <w:pPr>
          <w:pStyle w:val="Header"/>
          <w:jc w:val="right"/>
          <w:rPr>
            <w:rFonts w:asciiTheme="majorHAnsi" w:hAnsiTheme="majorHAnsi" w:cstheme="majorBidi"/>
            <w:noProof/>
            <w:color w:val="0070C0"/>
            <w:sz w:val="18"/>
            <w:szCs w:val="20"/>
            <w:rtl/>
          </w:rPr>
        </w:pPr>
        <w:r>
          <w:rPr>
            <w:rFonts w:asciiTheme="majorHAnsi" w:hAnsiTheme="majorHAnsi" w:cstheme="majorBidi"/>
            <w:color w:val="0070C0"/>
            <w:sz w:val="18"/>
            <w:szCs w:val="18"/>
          </w:rPr>
          <w:t xml:space="preserve"> </w:t>
        </w:r>
        <w:sdt>
          <w:sdtPr>
            <w:rPr>
              <w:rFonts w:asciiTheme="majorHAnsi" w:hAnsiTheme="majorHAnsi" w:cstheme="majorHAnsi"/>
              <w:noProof/>
              <w:color w:val="0070C0"/>
              <w:sz w:val="18"/>
              <w:szCs w:val="20"/>
              <w:rtl/>
            </w:rPr>
            <w:id w:val="1635678465"/>
            <w:docPartObj>
              <w:docPartGallery w:val="Page Numbers (Top of Page)"/>
              <w:docPartUnique/>
            </w:docPartObj>
          </w:sdtPr>
          <w:sdtContent>
            <w:r>
              <w:rPr>
                <w:rFonts w:asciiTheme="majorHAnsi" w:hAnsiTheme="majorHAnsi" w:cstheme="majorBidi"/>
                <w:color w:val="0070C0"/>
                <w:sz w:val="18"/>
                <w:szCs w:val="18"/>
              </w:rPr>
              <w:t>A</w:t>
            </w:r>
            <w:r w:rsidR="00D5453F">
              <w:rPr>
                <w:rFonts w:asciiTheme="majorHAnsi" w:hAnsiTheme="majorHAnsi" w:cstheme="majorBidi"/>
                <w:color w:val="0070C0"/>
                <w:sz w:val="18"/>
              </w:rPr>
              <w:t>1</w:t>
            </w:r>
            <w:r>
              <w:rPr>
                <w:rFonts w:asciiTheme="majorHAnsi" w:hAnsiTheme="majorHAnsi" w:cstheme="majorBidi"/>
                <w:color w:val="0070C0"/>
                <w:sz w:val="18"/>
                <w:szCs w:val="18"/>
              </w:rPr>
              <w:t>-</w:t>
            </w:r>
            <w:r w:rsidR="00D5453F">
              <w:rPr>
                <w:rFonts w:asciiTheme="majorHAnsi" w:hAnsiTheme="majorHAnsi" w:cstheme="majorBidi"/>
                <w:color w:val="0070C0"/>
                <w:sz w:val="18"/>
                <w:szCs w:val="18"/>
              </w:rPr>
              <w:t>1</w:t>
            </w:r>
          </w:sdtContent>
        </w:sdt>
      </w:p>
      <w:p w14:paraId="6BD909DE" w14:textId="77777777" w:rsidR="00FF2710" w:rsidRDefault="00FF2710" w:rsidP="00FF2710">
        <w:pPr>
          <w:pStyle w:val="Header"/>
          <w:jc w:val="right"/>
          <w:rPr>
            <w:noProof/>
            <w:color w:val="0070C0"/>
            <w:rtl/>
          </w:rPr>
        </w:pPr>
        <w:r>
          <w:rPr>
            <w:rFonts w:hint="cs"/>
            <w:noProof/>
            <w:color w:val="0070C0"/>
            <w:szCs w:val="20"/>
            <w:rtl/>
          </w:rPr>
          <mc:AlternateContent>
            <mc:Choice Requires="wps">
              <w:drawing>
                <wp:anchor distT="0" distB="0" distL="114300" distR="114300" simplePos="0" relativeHeight="251669504" behindDoc="0" locked="0" layoutInCell="1" allowOverlap="1" wp14:anchorId="3C591202" wp14:editId="4014A075">
                  <wp:simplePos x="0" y="0"/>
                  <wp:positionH relativeFrom="margin">
                    <wp:align>center</wp:align>
                  </wp:positionH>
                  <wp:positionV relativeFrom="paragraph">
                    <wp:posOffset>84455</wp:posOffset>
                  </wp:positionV>
                  <wp:extent cx="5894705" cy="0"/>
                  <wp:effectExtent l="0" t="0" r="29845" b="19050"/>
                  <wp:wrapNone/>
                  <wp:docPr id="8" name="Straight Connector 8"/>
                  <wp:cNvGraphicFramePr/>
                  <a:graphic xmlns:a="http://schemas.openxmlformats.org/drawingml/2006/main">
                    <a:graphicData uri="http://schemas.microsoft.com/office/word/2010/wordprocessingShape">
                      <wps:wsp>
                        <wps:cNvCnPr/>
                        <wps:spPr>
                          <a:xfrm flipV="1">
                            <a:off x="0" y="0"/>
                            <a:ext cx="58947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EFB5F2" id="Straight Connector 8" o:spid="_x0000_s1026" style="position:absolute;flip:y;z-index:2516695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6.65pt" to="464.1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" strokecolor="#5b9bd5 [3204]" strokeweight=".5pt">
                  <v:stroke joinstyle="miter"/>
                  <w10:wrap anchorx="margin"/>
                </v:line>
              </w:pict>
            </mc:Fallback>
          </mc:AlternateContent>
        </w:r>
      </w:p>
    </w:sdtContent>
  </w:sdt>
  <w:p w14:paraId="005C8223" w14:textId="77777777" w:rsidR="00D55681" w:rsidRPr="00FF2710" w:rsidRDefault="00D55681" w:rsidP="00FF2710">
    <w:pPr>
      <w:pStyle w:val="Header"/>
      <w:jc w:val="right"/>
      <w:rPr>
        <w:noProof/>
        <w:color w:val="0070C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2812"/>
    <w:multiLevelType w:val="hybridMultilevel"/>
    <w:tmpl w:val="CC8E11D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6E35759"/>
    <w:multiLevelType w:val="hybridMultilevel"/>
    <w:tmpl w:val="4ECEA004"/>
    <w:lvl w:ilvl="0" w:tplc="5F7EEC00">
      <w:start w:val="1"/>
      <w:numFmt w:val="bullet"/>
      <w:lvlText w:val="•"/>
      <w:lvlJc w:val="left"/>
      <w:pPr>
        <w:tabs>
          <w:tab w:val="num" w:pos="720"/>
        </w:tabs>
        <w:ind w:left="720" w:hanging="360"/>
      </w:pPr>
      <w:rPr>
        <w:rFonts w:ascii="Arial" w:hAnsi="Arial" w:hint="default"/>
      </w:rPr>
    </w:lvl>
    <w:lvl w:ilvl="1" w:tplc="503A3B12" w:tentative="1">
      <w:start w:val="1"/>
      <w:numFmt w:val="bullet"/>
      <w:lvlText w:val="•"/>
      <w:lvlJc w:val="left"/>
      <w:pPr>
        <w:tabs>
          <w:tab w:val="num" w:pos="1440"/>
        </w:tabs>
        <w:ind w:left="1440" w:hanging="360"/>
      </w:pPr>
      <w:rPr>
        <w:rFonts w:ascii="Arial" w:hAnsi="Arial" w:hint="default"/>
      </w:rPr>
    </w:lvl>
    <w:lvl w:ilvl="2" w:tplc="8162FFF4" w:tentative="1">
      <w:start w:val="1"/>
      <w:numFmt w:val="bullet"/>
      <w:lvlText w:val="•"/>
      <w:lvlJc w:val="left"/>
      <w:pPr>
        <w:tabs>
          <w:tab w:val="num" w:pos="2160"/>
        </w:tabs>
        <w:ind w:left="2160" w:hanging="360"/>
      </w:pPr>
      <w:rPr>
        <w:rFonts w:ascii="Arial" w:hAnsi="Arial" w:hint="default"/>
      </w:rPr>
    </w:lvl>
    <w:lvl w:ilvl="3" w:tplc="E5C8D44C" w:tentative="1">
      <w:start w:val="1"/>
      <w:numFmt w:val="bullet"/>
      <w:lvlText w:val="•"/>
      <w:lvlJc w:val="left"/>
      <w:pPr>
        <w:tabs>
          <w:tab w:val="num" w:pos="2880"/>
        </w:tabs>
        <w:ind w:left="2880" w:hanging="360"/>
      </w:pPr>
      <w:rPr>
        <w:rFonts w:ascii="Arial" w:hAnsi="Arial" w:hint="default"/>
      </w:rPr>
    </w:lvl>
    <w:lvl w:ilvl="4" w:tplc="0FF45634" w:tentative="1">
      <w:start w:val="1"/>
      <w:numFmt w:val="bullet"/>
      <w:lvlText w:val="•"/>
      <w:lvlJc w:val="left"/>
      <w:pPr>
        <w:tabs>
          <w:tab w:val="num" w:pos="3600"/>
        </w:tabs>
        <w:ind w:left="3600" w:hanging="360"/>
      </w:pPr>
      <w:rPr>
        <w:rFonts w:ascii="Arial" w:hAnsi="Arial" w:hint="default"/>
      </w:rPr>
    </w:lvl>
    <w:lvl w:ilvl="5" w:tplc="9E5A5588" w:tentative="1">
      <w:start w:val="1"/>
      <w:numFmt w:val="bullet"/>
      <w:lvlText w:val="•"/>
      <w:lvlJc w:val="left"/>
      <w:pPr>
        <w:tabs>
          <w:tab w:val="num" w:pos="4320"/>
        </w:tabs>
        <w:ind w:left="4320" w:hanging="360"/>
      </w:pPr>
      <w:rPr>
        <w:rFonts w:ascii="Arial" w:hAnsi="Arial" w:hint="default"/>
      </w:rPr>
    </w:lvl>
    <w:lvl w:ilvl="6" w:tplc="C50CD6D8" w:tentative="1">
      <w:start w:val="1"/>
      <w:numFmt w:val="bullet"/>
      <w:lvlText w:val="•"/>
      <w:lvlJc w:val="left"/>
      <w:pPr>
        <w:tabs>
          <w:tab w:val="num" w:pos="5040"/>
        </w:tabs>
        <w:ind w:left="5040" w:hanging="360"/>
      </w:pPr>
      <w:rPr>
        <w:rFonts w:ascii="Arial" w:hAnsi="Arial" w:hint="default"/>
      </w:rPr>
    </w:lvl>
    <w:lvl w:ilvl="7" w:tplc="C73E10F2" w:tentative="1">
      <w:start w:val="1"/>
      <w:numFmt w:val="bullet"/>
      <w:lvlText w:val="•"/>
      <w:lvlJc w:val="left"/>
      <w:pPr>
        <w:tabs>
          <w:tab w:val="num" w:pos="5760"/>
        </w:tabs>
        <w:ind w:left="5760" w:hanging="360"/>
      </w:pPr>
      <w:rPr>
        <w:rFonts w:ascii="Arial" w:hAnsi="Arial" w:hint="default"/>
      </w:rPr>
    </w:lvl>
    <w:lvl w:ilvl="8" w:tplc="8698E45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5F6F00"/>
    <w:multiLevelType w:val="hybridMultilevel"/>
    <w:tmpl w:val="3E0A6744"/>
    <w:lvl w:ilvl="0" w:tplc="13D8A548">
      <w:start w:val="1"/>
      <w:numFmt w:val="arabicAbjad"/>
      <w:lvlText w:val="%1)"/>
      <w:lvlJc w:val="left"/>
      <w:pPr>
        <w:ind w:left="1080" w:hanging="360"/>
      </w:pPr>
      <w:rPr>
        <w:rFonts w:hint="default"/>
        <w:b w:val="0"/>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3" w15:restartNumberingAfterBreak="0">
    <w:nsid w:val="16E8029F"/>
    <w:multiLevelType w:val="hybridMultilevel"/>
    <w:tmpl w:val="616CE7D8"/>
    <w:lvl w:ilvl="0" w:tplc="02E2E6A0">
      <w:start w:val="1"/>
      <w:numFmt w:val="decimal"/>
      <w:lvlText w:val="%1."/>
      <w:lvlJc w:val="left"/>
      <w:pPr>
        <w:tabs>
          <w:tab w:val="num" w:pos="720"/>
        </w:tabs>
        <w:ind w:left="720" w:hanging="360"/>
      </w:pPr>
    </w:lvl>
    <w:lvl w:ilvl="1" w:tplc="33F00146" w:tentative="1">
      <w:start w:val="1"/>
      <w:numFmt w:val="decimal"/>
      <w:lvlText w:val="%2."/>
      <w:lvlJc w:val="left"/>
      <w:pPr>
        <w:tabs>
          <w:tab w:val="num" w:pos="1440"/>
        </w:tabs>
        <w:ind w:left="1440" w:hanging="360"/>
      </w:pPr>
    </w:lvl>
    <w:lvl w:ilvl="2" w:tplc="35544D14" w:tentative="1">
      <w:start w:val="1"/>
      <w:numFmt w:val="decimal"/>
      <w:lvlText w:val="%3."/>
      <w:lvlJc w:val="left"/>
      <w:pPr>
        <w:tabs>
          <w:tab w:val="num" w:pos="2160"/>
        </w:tabs>
        <w:ind w:left="2160" w:hanging="360"/>
      </w:pPr>
    </w:lvl>
    <w:lvl w:ilvl="3" w:tplc="4AEEE952" w:tentative="1">
      <w:start w:val="1"/>
      <w:numFmt w:val="decimal"/>
      <w:lvlText w:val="%4."/>
      <w:lvlJc w:val="left"/>
      <w:pPr>
        <w:tabs>
          <w:tab w:val="num" w:pos="2880"/>
        </w:tabs>
        <w:ind w:left="2880" w:hanging="360"/>
      </w:pPr>
    </w:lvl>
    <w:lvl w:ilvl="4" w:tplc="80248B2A" w:tentative="1">
      <w:start w:val="1"/>
      <w:numFmt w:val="decimal"/>
      <w:lvlText w:val="%5."/>
      <w:lvlJc w:val="left"/>
      <w:pPr>
        <w:tabs>
          <w:tab w:val="num" w:pos="3600"/>
        </w:tabs>
        <w:ind w:left="3600" w:hanging="360"/>
      </w:pPr>
    </w:lvl>
    <w:lvl w:ilvl="5" w:tplc="6C3824AA" w:tentative="1">
      <w:start w:val="1"/>
      <w:numFmt w:val="decimal"/>
      <w:lvlText w:val="%6."/>
      <w:lvlJc w:val="left"/>
      <w:pPr>
        <w:tabs>
          <w:tab w:val="num" w:pos="4320"/>
        </w:tabs>
        <w:ind w:left="4320" w:hanging="360"/>
      </w:pPr>
    </w:lvl>
    <w:lvl w:ilvl="6" w:tplc="F4B6AE0A" w:tentative="1">
      <w:start w:val="1"/>
      <w:numFmt w:val="decimal"/>
      <w:lvlText w:val="%7."/>
      <w:lvlJc w:val="left"/>
      <w:pPr>
        <w:tabs>
          <w:tab w:val="num" w:pos="5040"/>
        </w:tabs>
        <w:ind w:left="5040" w:hanging="360"/>
      </w:pPr>
    </w:lvl>
    <w:lvl w:ilvl="7" w:tplc="570A9A18" w:tentative="1">
      <w:start w:val="1"/>
      <w:numFmt w:val="decimal"/>
      <w:lvlText w:val="%8."/>
      <w:lvlJc w:val="left"/>
      <w:pPr>
        <w:tabs>
          <w:tab w:val="num" w:pos="5760"/>
        </w:tabs>
        <w:ind w:left="5760" w:hanging="360"/>
      </w:pPr>
    </w:lvl>
    <w:lvl w:ilvl="8" w:tplc="F3FA5320" w:tentative="1">
      <w:start w:val="1"/>
      <w:numFmt w:val="decimal"/>
      <w:lvlText w:val="%9."/>
      <w:lvlJc w:val="left"/>
      <w:pPr>
        <w:tabs>
          <w:tab w:val="num" w:pos="6480"/>
        </w:tabs>
        <w:ind w:left="6480" w:hanging="360"/>
      </w:pPr>
    </w:lvl>
  </w:abstractNum>
  <w:abstractNum w:abstractNumId="4" w15:restartNumberingAfterBreak="0">
    <w:nsid w:val="27EF2AC0"/>
    <w:multiLevelType w:val="hybridMultilevel"/>
    <w:tmpl w:val="0FE2D4A6"/>
    <w:lvl w:ilvl="0" w:tplc="13D8A548">
      <w:start w:val="1"/>
      <w:numFmt w:val="arabicAbjad"/>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311104C6"/>
    <w:multiLevelType w:val="hybridMultilevel"/>
    <w:tmpl w:val="8B025428"/>
    <w:lvl w:ilvl="0" w:tplc="F656F8B0">
      <w:start w:val="1"/>
      <w:numFmt w:val="decimal"/>
      <w:lvlText w:val="%1."/>
      <w:lvlJc w:val="left"/>
      <w:pPr>
        <w:tabs>
          <w:tab w:val="num" w:pos="720"/>
        </w:tabs>
        <w:ind w:left="720" w:hanging="360"/>
      </w:pPr>
    </w:lvl>
    <w:lvl w:ilvl="1" w:tplc="1AC2D494">
      <w:start w:val="1"/>
      <w:numFmt w:val="lowerLetter"/>
      <w:lvlText w:val="%2."/>
      <w:lvlJc w:val="left"/>
      <w:pPr>
        <w:tabs>
          <w:tab w:val="num" w:pos="1440"/>
        </w:tabs>
        <w:ind w:left="1440" w:hanging="360"/>
      </w:pPr>
    </w:lvl>
    <w:lvl w:ilvl="2" w:tplc="CDB2A564">
      <w:numFmt w:val="bullet"/>
      <w:lvlText w:val=""/>
      <w:lvlJc w:val="left"/>
      <w:pPr>
        <w:tabs>
          <w:tab w:val="num" w:pos="2160"/>
        </w:tabs>
        <w:ind w:left="2160" w:hanging="360"/>
      </w:pPr>
      <w:rPr>
        <w:rFonts w:ascii="Wingdings" w:hAnsi="Wingdings" w:hint="default"/>
      </w:rPr>
    </w:lvl>
    <w:lvl w:ilvl="3" w:tplc="59CA25A6" w:tentative="1">
      <w:start w:val="1"/>
      <w:numFmt w:val="decimal"/>
      <w:lvlText w:val="%4."/>
      <w:lvlJc w:val="left"/>
      <w:pPr>
        <w:tabs>
          <w:tab w:val="num" w:pos="2880"/>
        </w:tabs>
        <w:ind w:left="2880" w:hanging="360"/>
      </w:pPr>
    </w:lvl>
    <w:lvl w:ilvl="4" w:tplc="A1FE1EA6" w:tentative="1">
      <w:start w:val="1"/>
      <w:numFmt w:val="decimal"/>
      <w:lvlText w:val="%5."/>
      <w:lvlJc w:val="left"/>
      <w:pPr>
        <w:tabs>
          <w:tab w:val="num" w:pos="3600"/>
        </w:tabs>
        <w:ind w:left="3600" w:hanging="360"/>
      </w:pPr>
    </w:lvl>
    <w:lvl w:ilvl="5" w:tplc="3F586060" w:tentative="1">
      <w:start w:val="1"/>
      <w:numFmt w:val="decimal"/>
      <w:lvlText w:val="%6."/>
      <w:lvlJc w:val="left"/>
      <w:pPr>
        <w:tabs>
          <w:tab w:val="num" w:pos="4320"/>
        </w:tabs>
        <w:ind w:left="4320" w:hanging="360"/>
      </w:pPr>
    </w:lvl>
    <w:lvl w:ilvl="6" w:tplc="96909936" w:tentative="1">
      <w:start w:val="1"/>
      <w:numFmt w:val="decimal"/>
      <w:lvlText w:val="%7."/>
      <w:lvlJc w:val="left"/>
      <w:pPr>
        <w:tabs>
          <w:tab w:val="num" w:pos="5040"/>
        </w:tabs>
        <w:ind w:left="5040" w:hanging="360"/>
      </w:pPr>
    </w:lvl>
    <w:lvl w:ilvl="7" w:tplc="2216FE22" w:tentative="1">
      <w:start w:val="1"/>
      <w:numFmt w:val="decimal"/>
      <w:lvlText w:val="%8."/>
      <w:lvlJc w:val="left"/>
      <w:pPr>
        <w:tabs>
          <w:tab w:val="num" w:pos="5760"/>
        </w:tabs>
        <w:ind w:left="5760" w:hanging="360"/>
      </w:pPr>
    </w:lvl>
    <w:lvl w:ilvl="8" w:tplc="01B49F2E" w:tentative="1">
      <w:start w:val="1"/>
      <w:numFmt w:val="decimal"/>
      <w:lvlText w:val="%9."/>
      <w:lvlJc w:val="left"/>
      <w:pPr>
        <w:tabs>
          <w:tab w:val="num" w:pos="6480"/>
        </w:tabs>
        <w:ind w:left="6480" w:hanging="360"/>
      </w:pPr>
    </w:lvl>
  </w:abstractNum>
  <w:abstractNum w:abstractNumId="6" w15:restartNumberingAfterBreak="0">
    <w:nsid w:val="421606CC"/>
    <w:multiLevelType w:val="hybridMultilevel"/>
    <w:tmpl w:val="3AA40E98"/>
    <w:lvl w:ilvl="0" w:tplc="13D8A548">
      <w:start w:val="1"/>
      <w:numFmt w:val="arabicAbjad"/>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42917782"/>
    <w:multiLevelType w:val="hybridMultilevel"/>
    <w:tmpl w:val="01124B42"/>
    <w:lvl w:ilvl="0" w:tplc="4314E5C0">
      <w:start w:val="1"/>
      <w:numFmt w:val="bullet"/>
      <w:lvlText w:val="•"/>
      <w:lvlJc w:val="left"/>
      <w:pPr>
        <w:tabs>
          <w:tab w:val="num" w:pos="720"/>
        </w:tabs>
        <w:ind w:left="720" w:hanging="360"/>
      </w:pPr>
      <w:rPr>
        <w:rFonts w:ascii="Arial" w:hAnsi="Arial" w:hint="default"/>
      </w:rPr>
    </w:lvl>
    <w:lvl w:ilvl="1" w:tplc="BC3CC4EE" w:tentative="1">
      <w:start w:val="1"/>
      <w:numFmt w:val="bullet"/>
      <w:lvlText w:val="•"/>
      <w:lvlJc w:val="left"/>
      <w:pPr>
        <w:tabs>
          <w:tab w:val="num" w:pos="1440"/>
        </w:tabs>
        <w:ind w:left="1440" w:hanging="360"/>
      </w:pPr>
      <w:rPr>
        <w:rFonts w:ascii="Arial" w:hAnsi="Arial" w:hint="default"/>
      </w:rPr>
    </w:lvl>
    <w:lvl w:ilvl="2" w:tplc="90B28CF6" w:tentative="1">
      <w:start w:val="1"/>
      <w:numFmt w:val="bullet"/>
      <w:lvlText w:val="•"/>
      <w:lvlJc w:val="left"/>
      <w:pPr>
        <w:tabs>
          <w:tab w:val="num" w:pos="2160"/>
        </w:tabs>
        <w:ind w:left="2160" w:hanging="360"/>
      </w:pPr>
      <w:rPr>
        <w:rFonts w:ascii="Arial" w:hAnsi="Arial" w:hint="default"/>
      </w:rPr>
    </w:lvl>
    <w:lvl w:ilvl="3" w:tplc="45542F5A" w:tentative="1">
      <w:start w:val="1"/>
      <w:numFmt w:val="bullet"/>
      <w:lvlText w:val="•"/>
      <w:lvlJc w:val="left"/>
      <w:pPr>
        <w:tabs>
          <w:tab w:val="num" w:pos="2880"/>
        </w:tabs>
        <w:ind w:left="2880" w:hanging="360"/>
      </w:pPr>
      <w:rPr>
        <w:rFonts w:ascii="Arial" w:hAnsi="Arial" w:hint="default"/>
      </w:rPr>
    </w:lvl>
    <w:lvl w:ilvl="4" w:tplc="FC4EFA7E" w:tentative="1">
      <w:start w:val="1"/>
      <w:numFmt w:val="bullet"/>
      <w:lvlText w:val="•"/>
      <w:lvlJc w:val="left"/>
      <w:pPr>
        <w:tabs>
          <w:tab w:val="num" w:pos="3600"/>
        </w:tabs>
        <w:ind w:left="3600" w:hanging="360"/>
      </w:pPr>
      <w:rPr>
        <w:rFonts w:ascii="Arial" w:hAnsi="Arial" w:hint="default"/>
      </w:rPr>
    </w:lvl>
    <w:lvl w:ilvl="5" w:tplc="690EC440" w:tentative="1">
      <w:start w:val="1"/>
      <w:numFmt w:val="bullet"/>
      <w:lvlText w:val="•"/>
      <w:lvlJc w:val="left"/>
      <w:pPr>
        <w:tabs>
          <w:tab w:val="num" w:pos="4320"/>
        </w:tabs>
        <w:ind w:left="4320" w:hanging="360"/>
      </w:pPr>
      <w:rPr>
        <w:rFonts w:ascii="Arial" w:hAnsi="Arial" w:hint="default"/>
      </w:rPr>
    </w:lvl>
    <w:lvl w:ilvl="6" w:tplc="67B62560" w:tentative="1">
      <w:start w:val="1"/>
      <w:numFmt w:val="bullet"/>
      <w:lvlText w:val="•"/>
      <w:lvlJc w:val="left"/>
      <w:pPr>
        <w:tabs>
          <w:tab w:val="num" w:pos="5040"/>
        </w:tabs>
        <w:ind w:left="5040" w:hanging="360"/>
      </w:pPr>
      <w:rPr>
        <w:rFonts w:ascii="Arial" w:hAnsi="Arial" w:hint="default"/>
      </w:rPr>
    </w:lvl>
    <w:lvl w:ilvl="7" w:tplc="24C02266" w:tentative="1">
      <w:start w:val="1"/>
      <w:numFmt w:val="bullet"/>
      <w:lvlText w:val="•"/>
      <w:lvlJc w:val="left"/>
      <w:pPr>
        <w:tabs>
          <w:tab w:val="num" w:pos="5760"/>
        </w:tabs>
        <w:ind w:left="5760" w:hanging="360"/>
      </w:pPr>
      <w:rPr>
        <w:rFonts w:ascii="Arial" w:hAnsi="Arial" w:hint="default"/>
      </w:rPr>
    </w:lvl>
    <w:lvl w:ilvl="8" w:tplc="2C5E59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EF4FCB"/>
    <w:multiLevelType w:val="hybridMultilevel"/>
    <w:tmpl w:val="94B45564"/>
    <w:lvl w:ilvl="0" w:tplc="DA126018">
      <w:start w:val="3"/>
      <w:numFmt w:val="decimal"/>
      <w:lvlText w:val="%1."/>
      <w:lvlJc w:val="left"/>
      <w:pPr>
        <w:ind w:left="360" w:hanging="360"/>
      </w:pPr>
      <w:rPr>
        <w:rFonts w:hint="default"/>
        <w:b w:val="0"/>
      </w:rPr>
    </w:lvl>
    <w:lvl w:ilvl="1" w:tplc="1D40A2C8">
      <w:start w:val="1"/>
      <w:numFmt w:val="lowerLetter"/>
      <w:lvlText w:val="%2."/>
      <w:lvlJc w:val="left"/>
      <w:pPr>
        <w:ind w:left="1080" w:hanging="360"/>
      </w:pPr>
      <w:rPr>
        <w:b w:val="0"/>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465317702">
    <w:abstractNumId w:val="1"/>
  </w:num>
  <w:num w:numId="2" w16cid:durableId="484008772">
    <w:abstractNumId w:val="7"/>
  </w:num>
  <w:num w:numId="3" w16cid:durableId="274018764">
    <w:abstractNumId w:val="0"/>
  </w:num>
  <w:num w:numId="4" w16cid:durableId="917249411">
    <w:abstractNumId w:val="5"/>
  </w:num>
  <w:num w:numId="5" w16cid:durableId="851535376">
    <w:abstractNumId w:val="3"/>
  </w:num>
  <w:num w:numId="6" w16cid:durableId="1997875345">
    <w:abstractNumId w:val="2"/>
  </w:num>
  <w:num w:numId="7" w16cid:durableId="1522358080">
    <w:abstractNumId w:val="8"/>
  </w:num>
  <w:num w:numId="8" w16cid:durableId="1252278075">
    <w:abstractNumId w:val="4"/>
  </w:num>
  <w:num w:numId="9" w16cid:durableId="1405846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4E6"/>
    <w:rsid w:val="000042CB"/>
    <w:rsid w:val="00037A7C"/>
    <w:rsid w:val="00091BE0"/>
    <w:rsid w:val="00094DEA"/>
    <w:rsid w:val="000A6D16"/>
    <w:rsid w:val="000E2A04"/>
    <w:rsid w:val="000E7EDC"/>
    <w:rsid w:val="00100B04"/>
    <w:rsid w:val="0012283E"/>
    <w:rsid w:val="001449BE"/>
    <w:rsid w:val="001820A1"/>
    <w:rsid w:val="001A7435"/>
    <w:rsid w:val="001E7E23"/>
    <w:rsid w:val="00221543"/>
    <w:rsid w:val="00223A76"/>
    <w:rsid w:val="00237B24"/>
    <w:rsid w:val="00247B73"/>
    <w:rsid w:val="002814E6"/>
    <w:rsid w:val="002B484C"/>
    <w:rsid w:val="002D7643"/>
    <w:rsid w:val="002E37A1"/>
    <w:rsid w:val="00300FC4"/>
    <w:rsid w:val="00303915"/>
    <w:rsid w:val="00305A99"/>
    <w:rsid w:val="00346CA6"/>
    <w:rsid w:val="003952CB"/>
    <w:rsid w:val="003D12E4"/>
    <w:rsid w:val="003E2B8E"/>
    <w:rsid w:val="00407621"/>
    <w:rsid w:val="0041127E"/>
    <w:rsid w:val="00433D0F"/>
    <w:rsid w:val="004521F5"/>
    <w:rsid w:val="00457A4C"/>
    <w:rsid w:val="00495255"/>
    <w:rsid w:val="004963B5"/>
    <w:rsid w:val="004A211E"/>
    <w:rsid w:val="004B5545"/>
    <w:rsid w:val="004C137E"/>
    <w:rsid w:val="004E3E3A"/>
    <w:rsid w:val="00530FE9"/>
    <w:rsid w:val="005323B1"/>
    <w:rsid w:val="005517F3"/>
    <w:rsid w:val="00563399"/>
    <w:rsid w:val="0059459C"/>
    <w:rsid w:val="005954DF"/>
    <w:rsid w:val="005C56FE"/>
    <w:rsid w:val="006511FB"/>
    <w:rsid w:val="00662F38"/>
    <w:rsid w:val="006646CE"/>
    <w:rsid w:val="00681F50"/>
    <w:rsid w:val="00691C49"/>
    <w:rsid w:val="006A6A65"/>
    <w:rsid w:val="006B2162"/>
    <w:rsid w:val="006C15C7"/>
    <w:rsid w:val="006C1B36"/>
    <w:rsid w:val="006E4BFF"/>
    <w:rsid w:val="00710CC1"/>
    <w:rsid w:val="007229B0"/>
    <w:rsid w:val="0072537A"/>
    <w:rsid w:val="007332C1"/>
    <w:rsid w:val="00754687"/>
    <w:rsid w:val="007A6A0C"/>
    <w:rsid w:val="007E18D6"/>
    <w:rsid w:val="008454D8"/>
    <w:rsid w:val="00886FAF"/>
    <w:rsid w:val="008874C2"/>
    <w:rsid w:val="008A54AB"/>
    <w:rsid w:val="008B316B"/>
    <w:rsid w:val="008B34D3"/>
    <w:rsid w:val="008C2AB6"/>
    <w:rsid w:val="008C4DDD"/>
    <w:rsid w:val="008E104E"/>
    <w:rsid w:val="00900631"/>
    <w:rsid w:val="00910731"/>
    <w:rsid w:val="009227F4"/>
    <w:rsid w:val="009314C1"/>
    <w:rsid w:val="00966D0A"/>
    <w:rsid w:val="00981556"/>
    <w:rsid w:val="00981A6F"/>
    <w:rsid w:val="009843F2"/>
    <w:rsid w:val="009B6114"/>
    <w:rsid w:val="00A20A4C"/>
    <w:rsid w:val="00A26E66"/>
    <w:rsid w:val="00A302CD"/>
    <w:rsid w:val="00A506EB"/>
    <w:rsid w:val="00A70492"/>
    <w:rsid w:val="00B52C42"/>
    <w:rsid w:val="00B6573C"/>
    <w:rsid w:val="00B74B46"/>
    <w:rsid w:val="00B96285"/>
    <w:rsid w:val="00B97990"/>
    <w:rsid w:val="00BC1D72"/>
    <w:rsid w:val="00BC5B93"/>
    <w:rsid w:val="00BD306C"/>
    <w:rsid w:val="00BE4DBC"/>
    <w:rsid w:val="00BE67C0"/>
    <w:rsid w:val="00BF5877"/>
    <w:rsid w:val="00C074F4"/>
    <w:rsid w:val="00C100AA"/>
    <w:rsid w:val="00C45467"/>
    <w:rsid w:val="00C45B8B"/>
    <w:rsid w:val="00C51945"/>
    <w:rsid w:val="00C91877"/>
    <w:rsid w:val="00CC1A4A"/>
    <w:rsid w:val="00CC54EA"/>
    <w:rsid w:val="00CD1E93"/>
    <w:rsid w:val="00D5040F"/>
    <w:rsid w:val="00D5453F"/>
    <w:rsid w:val="00D55681"/>
    <w:rsid w:val="00D76097"/>
    <w:rsid w:val="00D803E0"/>
    <w:rsid w:val="00D8764B"/>
    <w:rsid w:val="00DA051E"/>
    <w:rsid w:val="00DD26DB"/>
    <w:rsid w:val="00E079B9"/>
    <w:rsid w:val="00E11F25"/>
    <w:rsid w:val="00E2196C"/>
    <w:rsid w:val="00E22B16"/>
    <w:rsid w:val="00E61F38"/>
    <w:rsid w:val="00E87184"/>
    <w:rsid w:val="00E92BF1"/>
    <w:rsid w:val="00EA34F7"/>
    <w:rsid w:val="00EA38FB"/>
    <w:rsid w:val="00EA689E"/>
    <w:rsid w:val="00EE6464"/>
    <w:rsid w:val="00F02B24"/>
    <w:rsid w:val="00F1046F"/>
    <w:rsid w:val="00F7596E"/>
    <w:rsid w:val="00F92A24"/>
    <w:rsid w:val="00FB54E5"/>
    <w:rsid w:val="00FD2657"/>
    <w:rsid w:val="00FE0DE6"/>
    <w:rsid w:val="00FE0FB8"/>
    <w:rsid w:val="00FF2710"/>
  </w:rsids>
  <m:mathPr>
    <m:mathFont m:val="Cambria Math"/>
    <m:brkBin m:val="before"/>
    <m:brkBinSub m:val="--"/>
    <m:smallFrac m:val="0"/>
    <m:dispDef/>
    <m:lMargin m:val="0"/>
    <m:rMargin m:val="0"/>
    <m:defJc m:val="centerGroup"/>
    <m:wrapIndent m:val="1440"/>
    <m:intLim m:val="subSup"/>
    <m:naryLim m:val="undOvr"/>
  </m:mathPr>
  <w:themeFontLang w:val="en-SG"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8AEE5"/>
  <w15:chartTrackingRefBased/>
  <w15:docId w15:val="{41606721-92E9-48EA-A5D8-33C1F4C62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F50"/>
    <w:pPr>
      <w:bidi/>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C style"/>
    <w:basedOn w:val="Normal"/>
    <w:link w:val="ListParagraphChar"/>
    <w:uiPriority w:val="34"/>
    <w:qFormat/>
    <w:rsid w:val="009227F4"/>
    <w:pPr>
      <w:ind w:left="720"/>
      <w:contextualSpacing/>
    </w:pPr>
  </w:style>
  <w:style w:type="paragraph" w:styleId="FootnoteText">
    <w:name w:val="footnote text"/>
    <w:basedOn w:val="Normal"/>
    <w:link w:val="FootnoteTextChar"/>
    <w:uiPriority w:val="99"/>
    <w:unhideWhenUsed/>
    <w:rsid w:val="00D5040F"/>
    <w:pPr>
      <w:spacing w:after="0" w:line="240" w:lineRule="auto"/>
    </w:pPr>
    <w:rPr>
      <w:sz w:val="20"/>
      <w:szCs w:val="20"/>
    </w:rPr>
  </w:style>
  <w:style w:type="character" w:customStyle="1" w:styleId="FootnoteTextChar">
    <w:name w:val="Footnote Text Char"/>
    <w:basedOn w:val="DefaultParagraphFont"/>
    <w:link w:val="FootnoteText"/>
    <w:uiPriority w:val="99"/>
    <w:rsid w:val="00D5040F"/>
    <w:rPr>
      <w:sz w:val="20"/>
      <w:szCs w:val="20"/>
    </w:rPr>
  </w:style>
  <w:style w:type="character" w:styleId="FootnoteReference">
    <w:name w:val="footnote reference"/>
    <w:basedOn w:val="DefaultParagraphFont"/>
    <w:uiPriority w:val="99"/>
    <w:semiHidden/>
    <w:unhideWhenUsed/>
    <w:rsid w:val="00D5040F"/>
    <w:rPr>
      <w:vertAlign w:val="superscript"/>
    </w:rPr>
  </w:style>
  <w:style w:type="paragraph" w:styleId="Header">
    <w:name w:val="header"/>
    <w:basedOn w:val="Normal"/>
    <w:link w:val="HeaderChar"/>
    <w:unhideWhenUsed/>
    <w:rsid w:val="009843F2"/>
    <w:pPr>
      <w:tabs>
        <w:tab w:val="center" w:pos="4513"/>
        <w:tab w:val="right" w:pos="9026"/>
      </w:tabs>
      <w:spacing w:after="0" w:line="240" w:lineRule="auto"/>
    </w:pPr>
  </w:style>
  <w:style w:type="character" w:customStyle="1" w:styleId="HeaderChar">
    <w:name w:val="Header Char"/>
    <w:basedOn w:val="DefaultParagraphFont"/>
    <w:link w:val="Header"/>
    <w:rsid w:val="009843F2"/>
  </w:style>
  <w:style w:type="paragraph" w:styleId="Footer">
    <w:name w:val="footer"/>
    <w:basedOn w:val="Normal"/>
    <w:link w:val="FooterChar"/>
    <w:uiPriority w:val="99"/>
    <w:unhideWhenUsed/>
    <w:rsid w:val="009843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43F2"/>
  </w:style>
  <w:style w:type="table" w:styleId="TableGrid">
    <w:name w:val="Table Grid"/>
    <w:basedOn w:val="TableNormal"/>
    <w:uiPriority w:val="59"/>
    <w:rsid w:val="008A54AB"/>
    <w:pPr>
      <w:spacing w:after="0" w:line="240" w:lineRule="auto"/>
      <w:jc w:val="both"/>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TOC style Char"/>
    <w:basedOn w:val="DefaultParagraphFont"/>
    <w:link w:val="ListParagraph"/>
    <w:uiPriority w:val="34"/>
    <w:locked/>
    <w:rsid w:val="008A54AB"/>
  </w:style>
  <w:style w:type="paragraph" w:styleId="BalloonText">
    <w:name w:val="Balloon Text"/>
    <w:basedOn w:val="Normal"/>
    <w:link w:val="BalloonTextChar"/>
    <w:uiPriority w:val="99"/>
    <w:semiHidden/>
    <w:unhideWhenUsed/>
    <w:rsid w:val="00563399"/>
    <w:pPr>
      <w:spacing w:after="0" w:line="240" w:lineRule="auto"/>
    </w:pPr>
    <w:rPr>
      <w:rFonts w:ascii="Segoe UI" w:hAnsi="Segoe UI" w:cs="Arial"/>
      <w:sz w:val="18"/>
      <w:szCs w:val="18"/>
    </w:rPr>
  </w:style>
  <w:style w:type="character" w:customStyle="1" w:styleId="BalloonTextChar">
    <w:name w:val="Balloon Text Char"/>
    <w:basedOn w:val="DefaultParagraphFont"/>
    <w:link w:val="BalloonText"/>
    <w:uiPriority w:val="99"/>
    <w:semiHidden/>
    <w:rsid w:val="00563399"/>
    <w:rPr>
      <w:rFonts w:ascii="Segoe UI" w:hAnsi="Segoe UI" w:cs="Arial"/>
      <w:sz w:val="18"/>
      <w:szCs w:val="18"/>
    </w:rPr>
  </w:style>
  <w:style w:type="character" w:styleId="CommentReference">
    <w:name w:val="annotation reference"/>
    <w:basedOn w:val="DefaultParagraphFont"/>
    <w:uiPriority w:val="99"/>
    <w:semiHidden/>
    <w:unhideWhenUsed/>
    <w:rsid w:val="006C15C7"/>
    <w:rPr>
      <w:sz w:val="16"/>
      <w:szCs w:val="16"/>
    </w:rPr>
  </w:style>
  <w:style w:type="paragraph" w:styleId="CommentText">
    <w:name w:val="annotation text"/>
    <w:basedOn w:val="Normal"/>
    <w:link w:val="CommentTextChar"/>
    <w:uiPriority w:val="99"/>
    <w:semiHidden/>
    <w:unhideWhenUsed/>
    <w:rsid w:val="006C15C7"/>
    <w:pPr>
      <w:spacing w:line="240" w:lineRule="auto"/>
    </w:pPr>
    <w:rPr>
      <w:sz w:val="20"/>
      <w:szCs w:val="20"/>
    </w:rPr>
  </w:style>
  <w:style w:type="character" w:customStyle="1" w:styleId="CommentTextChar">
    <w:name w:val="Comment Text Char"/>
    <w:basedOn w:val="DefaultParagraphFont"/>
    <w:link w:val="CommentText"/>
    <w:uiPriority w:val="99"/>
    <w:semiHidden/>
    <w:rsid w:val="006C15C7"/>
    <w:rPr>
      <w:sz w:val="20"/>
      <w:szCs w:val="20"/>
    </w:rPr>
  </w:style>
  <w:style w:type="paragraph" w:styleId="CommentSubject">
    <w:name w:val="annotation subject"/>
    <w:basedOn w:val="CommentText"/>
    <w:next w:val="CommentText"/>
    <w:link w:val="CommentSubjectChar"/>
    <w:uiPriority w:val="99"/>
    <w:semiHidden/>
    <w:unhideWhenUsed/>
    <w:rsid w:val="006C15C7"/>
    <w:rPr>
      <w:b/>
      <w:bCs/>
    </w:rPr>
  </w:style>
  <w:style w:type="character" w:customStyle="1" w:styleId="CommentSubjectChar">
    <w:name w:val="Comment Subject Char"/>
    <w:basedOn w:val="CommentTextChar"/>
    <w:link w:val="CommentSubject"/>
    <w:uiPriority w:val="99"/>
    <w:semiHidden/>
    <w:rsid w:val="006C15C7"/>
    <w:rPr>
      <w:b/>
      <w:bCs/>
      <w:sz w:val="20"/>
      <w:szCs w:val="20"/>
    </w:rPr>
  </w:style>
  <w:style w:type="paragraph" w:styleId="Caption">
    <w:name w:val="caption"/>
    <w:basedOn w:val="Normal"/>
    <w:next w:val="Normal"/>
    <w:uiPriority w:val="35"/>
    <w:unhideWhenUsed/>
    <w:qFormat/>
    <w:rsid w:val="00981556"/>
    <w:pPr>
      <w:spacing w:after="0" w:line="240" w:lineRule="auto"/>
      <w:jc w:val="center"/>
    </w:pPr>
    <w:rPr>
      <w:rFonts w:ascii="Arial" w:hAnsi="Arial" w:cs="Arial"/>
      <w:i/>
      <w:iCs/>
      <w:sz w:val="18"/>
      <w:szCs w:val="18"/>
      <w:lang w:val="en-GB"/>
    </w:rPr>
  </w:style>
  <w:style w:type="paragraph" w:styleId="Revision">
    <w:name w:val="Revision"/>
    <w:hidden/>
    <w:uiPriority w:val="99"/>
    <w:semiHidden/>
    <w:rsid w:val="00094DEA"/>
    <w:pPr>
      <w:spacing w:after="0" w:line="240" w:lineRule="auto"/>
    </w:pPr>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06594">
      <w:bodyDiv w:val="1"/>
      <w:marLeft w:val="0"/>
      <w:marRight w:val="0"/>
      <w:marTop w:val="0"/>
      <w:marBottom w:val="0"/>
      <w:divBdr>
        <w:top w:val="none" w:sz="0" w:space="0" w:color="auto"/>
        <w:left w:val="none" w:sz="0" w:space="0" w:color="auto"/>
        <w:bottom w:val="none" w:sz="0" w:space="0" w:color="auto"/>
        <w:right w:val="none" w:sz="0" w:space="0" w:color="auto"/>
      </w:divBdr>
      <w:divsChild>
        <w:div w:id="1675917280">
          <w:marLeft w:val="547"/>
          <w:marRight w:val="0"/>
          <w:marTop w:val="0"/>
          <w:marBottom w:val="0"/>
          <w:divBdr>
            <w:top w:val="none" w:sz="0" w:space="0" w:color="auto"/>
            <w:left w:val="none" w:sz="0" w:space="0" w:color="auto"/>
            <w:bottom w:val="none" w:sz="0" w:space="0" w:color="auto"/>
            <w:right w:val="none" w:sz="0" w:space="0" w:color="auto"/>
          </w:divBdr>
        </w:div>
        <w:div w:id="678388082">
          <w:marLeft w:val="547"/>
          <w:marRight w:val="0"/>
          <w:marTop w:val="0"/>
          <w:marBottom w:val="0"/>
          <w:divBdr>
            <w:top w:val="none" w:sz="0" w:space="0" w:color="auto"/>
            <w:left w:val="none" w:sz="0" w:space="0" w:color="auto"/>
            <w:bottom w:val="none" w:sz="0" w:space="0" w:color="auto"/>
            <w:right w:val="none" w:sz="0" w:space="0" w:color="auto"/>
          </w:divBdr>
        </w:div>
        <w:div w:id="2104758099">
          <w:marLeft w:val="1440"/>
          <w:marRight w:val="0"/>
          <w:marTop w:val="0"/>
          <w:marBottom w:val="0"/>
          <w:divBdr>
            <w:top w:val="none" w:sz="0" w:space="0" w:color="auto"/>
            <w:left w:val="none" w:sz="0" w:space="0" w:color="auto"/>
            <w:bottom w:val="none" w:sz="0" w:space="0" w:color="auto"/>
            <w:right w:val="none" w:sz="0" w:space="0" w:color="auto"/>
          </w:divBdr>
        </w:div>
        <w:div w:id="511646150">
          <w:marLeft w:val="1440"/>
          <w:marRight w:val="0"/>
          <w:marTop w:val="0"/>
          <w:marBottom w:val="0"/>
          <w:divBdr>
            <w:top w:val="none" w:sz="0" w:space="0" w:color="auto"/>
            <w:left w:val="none" w:sz="0" w:space="0" w:color="auto"/>
            <w:bottom w:val="none" w:sz="0" w:space="0" w:color="auto"/>
            <w:right w:val="none" w:sz="0" w:space="0" w:color="auto"/>
          </w:divBdr>
        </w:div>
        <w:div w:id="176820192">
          <w:marLeft w:val="2160"/>
          <w:marRight w:val="0"/>
          <w:marTop w:val="0"/>
          <w:marBottom w:val="0"/>
          <w:divBdr>
            <w:top w:val="none" w:sz="0" w:space="0" w:color="auto"/>
            <w:left w:val="none" w:sz="0" w:space="0" w:color="auto"/>
            <w:bottom w:val="none" w:sz="0" w:space="0" w:color="auto"/>
            <w:right w:val="none" w:sz="0" w:space="0" w:color="auto"/>
          </w:divBdr>
        </w:div>
        <w:div w:id="946079223">
          <w:marLeft w:val="547"/>
          <w:marRight w:val="0"/>
          <w:marTop w:val="0"/>
          <w:marBottom w:val="0"/>
          <w:divBdr>
            <w:top w:val="none" w:sz="0" w:space="0" w:color="auto"/>
            <w:left w:val="none" w:sz="0" w:space="0" w:color="auto"/>
            <w:bottom w:val="none" w:sz="0" w:space="0" w:color="auto"/>
            <w:right w:val="none" w:sz="0" w:space="0" w:color="auto"/>
          </w:divBdr>
        </w:div>
        <w:div w:id="1307779139">
          <w:marLeft w:val="547"/>
          <w:marRight w:val="0"/>
          <w:marTop w:val="0"/>
          <w:marBottom w:val="0"/>
          <w:divBdr>
            <w:top w:val="none" w:sz="0" w:space="0" w:color="auto"/>
            <w:left w:val="none" w:sz="0" w:space="0" w:color="auto"/>
            <w:bottom w:val="none" w:sz="0" w:space="0" w:color="auto"/>
            <w:right w:val="none" w:sz="0" w:space="0" w:color="auto"/>
          </w:divBdr>
        </w:div>
      </w:divsChild>
    </w:div>
    <w:div w:id="439885205">
      <w:bodyDiv w:val="1"/>
      <w:marLeft w:val="0"/>
      <w:marRight w:val="0"/>
      <w:marTop w:val="0"/>
      <w:marBottom w:val="0"/>
      <w:divBdr>
        <w:top w:val="none" w:sz="0" w:space="0" w:color="auto"/>
        <w:left w:val="none" w:sz="0" w:space="0" w:color="auto"/>
        <w:bottom w:val="none" w:sz="0" w:space="0" w:color="auto"/>
        <w:right w:val="none" w:sz="0" w:space="0" w:color="auto"/>
      </w:divBdr>
      <w:divsChild>
        <w:div w:id="2145003195">
          <w:marLeft w:val="547"/>
          <w:marRight w:val="0"/>
          <w:marTop w:val="0"/>
          <w:marBottom w:val="0"/>
          <w:divBdr>
            <w:top w:val="none" w:sz="0" w:space="0" w:color="auto"/>
            <w:left w:val="none" w:sz="0" w:space="0" w:color="auto"/>
            <w:bottom w:val="none" w:sz="0" w:space="0" w:color="auto"/>
            <w:right w:val="none" w:sz="0" w:space="0" w:color="auto"/>
          </w:divBdr>
        </w:div>
        <w:div w:id="1395660485">
          <w:marLeft w:val="547"/>
          <w:marRight w:val="0"/>
          <w:marTop w:val="0"/>
          <w:marBottom w:val="0"/>
          <w:divBdr>
            <w:top w:val="none" w:sz="0" w:space="0" w:color="auto"/>
            <w:left w:val="none" w:sz="0" w:space="0" w:color="auto"/>
            <w:bottom w:val="none" w:sz="0" w:space="0" w:color="auto"/>
            <w:right w:val="none" w:sz="0" w:space="0" w:color="auto"/>
          </w:divBdr>
        </w:div>
        <w:div w:id="692807946">
          <w:marLeft w:val="1440"/>
          <w:marRight w:val="0"/>
          <w:marTop w:val="0"/>
          <w:marBottom w:val="0"/>
          <w:divBdr>
            <w:top w:val="none" w:sz="0" w:space="0" w:color="auto"/>
            <w:left w:val="none" w:sz="0" w:space="0" w:color="auto"/>
            <w:bottom w:val="none" w:sz="0" w:space="0" w:color="auto"/>
            <w:right w:val="none" w:sz="0" w:space="0" w:color="auto"/>
          </w:divBdr>
        </w:div>
        <w:div w:id="1314287868">
          <w:marLeft w:val="1440"/>
          <w:marRight w:val="0"/>
          <w:marTop w:val="0"/>
          <w:marBottom w:val="0"/>
          <w:divBdr>
            <w:top w:val="none" w:sz="0" w:space="0" w:color="auto"/>
            <w:left w:val="none" w:sz="0" w:space="0" w:color="auto"/>
            <w:bottom w:val="none" w:sz="0" w:space="0" w:color="auto"/>
            <w:right w:val="none" w:sz="0" w:space="0" w:color="auto"/>
          </w:divBdr>
        </w:div>
        <w:div w:id="640889238">
          <w:marLeft w:val="2160"/>
          <w:marRight w:val="0"/>
          <w:marTop w:val="0"/>
          <w:marBottom w:val="0"/>
          <w:divBdr>
            <w:top w:val="none" w:sz="0" w:space="0" w:color="auto"/>
            <w:left w:val="none" w:sz="0" w:space="0" w:color="auto"/>
            <w:bottom w:val="none" w:sz="0" w:space="0" w:color="auto"/>
            <w:right w:val="none" w:sz="0" w:space="0" w:color="auto"/>
          </w:divBdr>
        </w:div>
        <w:div w:id="134490871">
          <w:marLeft w:val="547"/>
          <w:marRight w:val="0"/>
          <w:marTop w:val="0"/>
          <w:marBottom w:val="0"/>
          <w:divBdr>
            <w:top w:val="none" w:sz="0" w:space="0" w:color="auto"/>
            <w:left w:val="none" w:sz="0" w:space="0" w:color="auto"/>
            <w:bottom w:val="none" w:sz="0" w:space="0" w:color="auto"/>
            <w:right w:val="none" w:sz="0" w:space="0" w:color="auto"/>
          </w:divBdr>
        </w:div>
        <w:div w:id="1803573377">
          <w:marLeft w:val="547"/>
          <w:marRight w:val="0"/>
          <w:marTop w:val="0"/>
          <w:marBottom w:val="0"/>
          <w:divBdr>
            <w:top w:val="none" w:sz="0" w:space="0" w:color="auto"/>
            <w:left w:val="none" w:sz="0" w:space="0" w:color="auto"/>
            <w:bottom w:val="none" w:sz="0" w:space="0" w:color="auto"/>
            <w:right w:val="none" w:sz="0" w:space="0" w:color="auto"/>
          </w:divBdr>
        </w:div>
      </w:divsChild>
    </w:div>
    <w:div w:id="493568461">
      <w:bodyDiv w:val="1"/>
      <w:marLeft w:val="0"/>
      <w:marRight w:val="0"/>
      <w:marTop w:val="0"/>
      <w:marBottom w:val="0"/>
      <w:divBdr>
        <w:top w:val="none" w:sz="0" w:space="0" w:color="auto"/>
        <w:left w:val="none" w:sz="0" w:space="0" w:color="auto"/>
        <w:bottom w:val="none" w:sz="0" w:space="0" w:color="auto"/>
        <w:right w:val="none" w:sz="0" w:space="0" w:color="auto"/>
      </w:divBdr>
      <w:divsChild>
        <w:div w:id="1506507509">
          <w:marLeft w:val="547"/>
          <w:marRight w:val="0"/>
          <w:marTop w:val="0"/>
          <w:marBottom w:val="0"/>
          <w:divBdr>
            <w:top w:val="none" w:sz="0" w:space="0" w:color="auto"/>
            <w:left w:val="none" w:sz="0" w:space="0" w:color="auto"/>
            <w:bottom w:val="none" w:sz="0" w:space="0" w:color="auto"/>
            <w:right w:val="none" w:sz="0" w:space="0" w:color="auto"/>
          </w:divBdr>
        </w:div>
        <w:div w:id="1337616222">
          <w:marLeft w:val="547"/>
          <w:marRight w:val="0"/>
          <w:marTop w:val="0"/>
          <w:marBottom w:val="0"/>
          <w:divBdr>
            <w:top w:val="none" w:sz="0" w:space="0" w:color="auto"/>
            <w:left w:val="none" w:sz="0" w:space="0" w:color="auto"/>
            <w:bottom w:val="none" w:sz="0" w:space="0" w:color="auto"/>
            <w:right w:val="none" w:sz="0" w:space="0" w:color="auto"/>
          </w:divBdr>
        </w:div>
      </w:divsChild>
    </w:div>
    <w:div w:id="1098671712">
      <w:bodyDiv w:val="1"/>
      <w:marLeft w:val="0"/>
      <w:marRight w:val="0"/>
      <w:marTop w:val="0"/>
      <w:marBottom w:val="0"/>
      <w:divBdr>
        <w:top w:val="none" w:sz="0" w:space="0" w:color="auto"/>
        <w:left w:val="none" w:sz="0" w:space="0" w:color="auto"/>
        <w:bottom w:val="none" w:sz="0" w:space="0" w:color="auto"/>
        <w:right w:val="none" w:sz="0" w:space="0" w:color="auto"/>
      </w:divBdr>
      <w:divsChild>
        <w:div w:id="871306083">
          <w:marLeft w:val="547"/>
          <w:marRight w:val="0"/>
          <w:marTop w:val="0"/>
          <w:marBottom w:val="0"/>
          <w:divBdr>
            <w:top w:val="none" w:sz="0" w:space="0" w:color="auto"/>
            <w:left w:val="none" w:sz="0" w:space="0" w:color="auto"/>
            <w:bottom w:val="none" w:sz="0" w:space="0" w:color="auto"/>
            <w:right w:val="none" w:sz="0" w:space="0" w:color="auto"/>
          </w:divBdr>
        </w:div>
        <w:div w:id="783690493">
          <w:marLeft w:val="547"/>
          <w:marRight w:val="0"/>
          <w:marTop w:val="0"/>
          <w:marBottom w:val="0"/>
          <w:divBdr>
            <w:top w:val="none" w:sz="0" w:space="0" w:color="auto"/>
            <w:left w:val="none" w:sz="0" w:space="0" w:color="auto"/>
            <w:bottom w:val="none" w:sz="0" w:space="0" w:color="auto"/>
            <w:right w:val="none" w:sz="0" w:space="0" w:color="auto"/>
          </w:divBdr>
        </w:div>
      </w:divsChild>
    </w:div>
    <w:div w:id="1431119981">
      <w:bodyDiv w:val="1"/>
      <w:marLeft w:val="0"/>
      <w:marRight w:val="0"/>
      <w:marTop w:val="0"/>
      <w:marBottom w:val="0"/>
      <w:divBdr>
        <w:top w:val="none" w:sz="0" w:space="0" w:color="auto"/>
        <w:left w:val="none" w:sz="0" w:space="0" w:color="auto"/>
        <w:bottom w:val="none" w:sz="0" w:space="0" w:color="auto"/>
        <w:right w:val="none" w:sz="0" w:space="0" w:color="auto"/>
      </w:divBdr>
      <w:divsChild>
        <w:div w:id="2109495448">
          <w:marLeft w:val="446"/>
          <w:marRight w:val="0"/>
          <w:marTop w:val="0"/>
          <w:marBottom w:val="0"/>
          <w:divBdr>
            <w:top w:val="none" w:sz="0" w:space="0" w:color="auto"/>
            <w:left w:val="none" w:sz="0" w:space="0" w:color="auto"/>
            <w:bottom w:val="none" w:sz="0" w:space="0" w:color="auto"/>
            <w:right w:val="none" w:sz="0" w:space="0" w:color="auto"/>
          </w:divBdr>
        </w:div>
        <w:div w:id="4941236">
          <w:marLeft w:val="446"/>
          <w:marRight w:val="0"/>
          <w:marTop w:val="0"/>
          <w:marBottom w:val="0"/>
          <w:divBdr>
            <w:top w:val="none" w:sz="0" w:space="0" w:color="auto"/>
            <w:left w:val="none" w:sz="0" w:space="0" w:color="auto"/>
            <w:bottom w:val="none" w:sz="0" w:space="0" w:color="auto"/>
            <w:right w:val="none" w:sz="0" w:space="0" w:color="auto"/>
          </w:divBdr>
        </w:div>
        <w:div w:id="257762452">
          <w:marLeft w:val="446"/>
          <w:marRight w:val="0"/>
          <w:marTop w:val="0"/>
          <w:marBottom w:val="0"/>
          <w:divBdr>
            <w:top w:val="none" w:sz="0" w:space="0" w:color="auto"/>
            <w:left w:val="none" w:sz="0" w:space="0" w:color="auto"/>
            <w:bottom w:val="none" w:sz="0" w:space="0" w:color="auto"/>
            <w:right w:val="none" w:sz="0" w:space="0" w:color="auto"/>
          </w:divBdr>
        </w:div>
        <w:div w:id="1587766858">
          <w:marLeft w:val="446"/>
          <w:marRight w:val="0"/>
          <w:marTop w:val="0"/>
          <w:marBottom w:val="0"/>
          <w:divBdr>
            <w:top w:val="none" w:sz="0" w:space="0" w:color="auto"/>
            <w:left w:val="none" w:sz="0" w:space="0" w:color="auto"/>
            <w:bottom w:val="none" w:sz="0" w:space="0" w:color="auto"/>
            <w:right w:val="none" w:sz="0" w:space="0" w:color="auto"/>
          </w:divBdr>
        </w:div>
        <w:div w:id="384790964">
          <w:marLeft w:val="446"/>
          <w:marRight w:val="0"/>
          <w:marTop w:val="0"/>
          <w:marBottom w:val="0"/>
          <w:divBdr>
            <w:top w:val="none" w:sz="0" w:space="0" w:color="auto"/>
            <w:left w:val="none" w:sz="0" w:space="0" w:color="auto"/>
            <w:bottom w:val="none" w:sz="0" w:space="0" w:color="auto"/>
            <w:right w:val="none" w:sz="0" w:space="0" w:color="auto"/>
          </w:divBdr>
        </w:div>
        <w:div w:id="510147600">
          <w:marLeft w:val="446"/>
          <w:marRight w:val="0"/>
          <w:marTop w:val="0"/>
          <w:marBottom w:val="0"/>
          <w:divBdr>
            <w:top w:val="none" w:sz="0" w:space="0" w:color="auto"/>
            <w:left w:val="none" w:sz="0" w:space="0" w:color="auto"/>
            <w:bottom w:val="none" w:sz="0" w:space="0" w:color="auto"/>
            <w:right w:val="none" w:sz="0" w:space="0" w:color="auto"/>
          </w:divBdr>
        </w:div>
      </w:divsChild>
    </w:div>
    <w:div w:id="1635022853">
      <w:bodyDiv w:val="1"/>
      <w:marLeft w:val="0"/>
      <w:marRight w:val="0"/>
      <w:marTop w:val="0"/>
      <w:marBottom w:val="0"/>
      <w:divBdr>
        <w:top w:val="none" w:sz="0" w:space="0" w:color="auto"/>
        <w:left w:val="none" w:sz="0" w:space="0" w:color="auto"/>
        <w:bottom w:val="none" w:sz="0" w:space="0" w:color="auto"/>
        <w:right w:val="none" w:sz="0" w:space="0" w:color="auto"/>
      </w:divBdr>
      <w:divsChild>
        <w:div w:id="1759328121">
          <w:marLeft w:val="547"/>
          <w:marRight w:val="0"/>
          <w:marTop w:val="0"/>
          <w:marBottom w:val="0"/>
          <w:divBdr>
            <w:top w:val="none" w:sz="0" w:space="0" w:color="auto"/>
            <w:left w:val="none" w:sz="0" w:space="0" w:color="auto"/>
            <w:bottom w:val="none" w:sz="0" w:space="0" w:color="auto"/>
            <w:right w:val="none" w:sz="0" w:space="0" w:color="auto"/>
          </w:divBdr>
        </w:div>
        <w:div w:id="855579977">
          <w:marLeft w:val="547"/>
          <w:marRight w:val="0"/>
          <w:marTop w:val="0"/>
          <w:marBottom w:val="0"/>
          <w:divBdr>
            <w:top w:val="none" w:sz="0" w:space="0" w:color="auto"/>
            <w:left w:val="none" w:sz="0" w:space="0" w:color="auto"/>
            <w:bottom w:val="none" w:sz="0" w:space="0" w:color="auto"/>
            <w:right w:val="none" w:sz="0" w:space="0" w:color="auto"/>
          </w:divBdr>
        </w:div>
        <w:div w:id="1659113075">
          <w:marLeft w:val="1440"/>
          <w:marRight w:val="0"/>
          <w:marTop w:val="0"/>
          <w:marBottom w:val="0"/>
          <w:divBdr>
            <w:top w:val="none" w:sz="0" w:space="0" w:color="auto"/>
            <w:left w:val="none" w:sz="0" w:space="0" w:color="auto"/>
            <w:bottom w:val="none" w:sz="0" w:space="0" w:color="auto"/>
            <w:right w:val="none" w:sz="0" w:space="0" w:color="auto"/>
          </w:divBdr>
        </w:div>
        <w:div w:id="1660844969">
          <w:marLeft w:val="1440"/>
          <w:marRight w:val="0"/>
          <w:marTop w:val="0"/>
          <w:marBottom w:val="0"/>
          <w:divBdr>
            <w:top w:val="none" w:sz="0" w:space="0" w:color="auto"/>
            <w:left w:val="none" w:sz="0" w:space="0" w:color="auto"/>
            <w:bottom w:val="none" w:sz="0" w:space="0" w:color="auto"/>
            <w:right w:val="none" w:sz="0" w:space="0" w:color="auto"/>
          </w:divBdr>
        </w:div>
        <w:div w:id="368606965">
          <w:marLeft w:val="2160"/>
          <w:marRight w:val="0"/>
          <w:marTop w:val="0"/>
          <w:marBottom w:val="0"/>
          <w:divBdr>
            <w:top w:val="none" w:sz="0" w:space="0" w:color="auto"/>
            <w:left w:val="none" w:sz="0" w:space="0" w:color="auto"/>
            <w:bottom w:val="none" w:sz="0" w:space="0" w:color="auto"/>
            <w:right w:val="none" w:sz="0" w:space="0" w:color="auto"/>
          </w:divBdr>
        </w:div>
        <w:div w:id="1637644441">
          <w:marLeft w:val="547"/>
          <w:marRight w:val="0"/>
          <w:marTop w:val="0"/>
          <w:marBottom w:val="0"/>
          <w:divBdr>
            <w:top w:val="none" w:sz="0" w:space="0" w:color="auto"/>
            <w:left w:val="none" w:sz="0" w:space="0" w:color="auto"/>
            <w:bottom w:val="none" w:sz="0" w:space="0" w:color="auto"/>
            <w:right w:val="none" w:sz="0" w:space="0" w:color="auto"/>
          </w:divBdr>
        </w:div>
        <w:div w:id="2022319054">
          <w:marLeft w:val="547"/>
          <w:marRight w:val="0"/>
          <w:marTop w:val="0"/>
          <w:marBottom w:val="0"/>
          <w:divBdr>
            <w:top w:val="none" w:sz="0" w:space="0" w:color="auto"/>
            <w:left w:val="none" w:sz="0" w:space="0" w:color="auto"/>
            <w:bottom w:val="none" w:sz="0" w:space="0" w:color="auto"/>
            <w:right w:val="none" w:sz="0" w:space="0" w:color="auto"/>
          </w:divBdr>
        </w:div>
      </w:divsChild>
    </w:div>
    <w:div w:id="1742872569">
      <w:bodyDiv w:val="1"/>
      <w:marLeft w:val="0"/>
      <w:marRight w:val="0"/>
      <w:marTop w:val="0"/>
      <w:marBottom w:val="0"/>
      <w:divBdr>
        <w:top w:val="none" w:sz="0" w:space="0" w:color="auto"/>
        <w:left w:val="none" w:sz="0" w:space="0" w:color="auto"/>
        <w:bottom w:val="none" w:sz="0" w:space="0" w:color="auto"/>
        <w:right w:val="none" w:sz="0" w:space="0" w:color="auto"/>
      </w:divBdr>
      <w:divsChild>
        <w:div w:id="1874267220">
          <w:marLeft w:val="446"/>
          <w:marRight w:val="0"/>
          <w:marTop w:val="0"/>
          <w:marBottom w:val="0"/>
          <w:divBdr>
            <w:top w:val="none" w:sz="0" w:space="0" w:color="auto"/>
            <w:left w:val="none" w:sz="0" w:space="0" w:color="auto"/>
            <w:bottom w:val="none" w:sz="0" w:space="0" w:color="auto"/>
            <w:right w:val="none" w:sz="0" w:space="0" w:color="auto"/>
          </w:divBdr>
        </w:div>
        <w:div w:id="659120323">
          <w:marLeft w:val="446"/>
          <w:marRight w:val="0"/>
          <w:marTop w:val="0"/>
          <w:marBottom w:val="0"/>
          <w:divBdr>
            <w:top w:val="none" w:sz="0" w:space="0" w:color="auto"/>
            <w:left w:val="none" w:sz="0" w:space="0" w:color="auto"/>
            <w:bottom w:val="none" w:sz="0" w:space="0" w:color="auto"/>
            <w:right w:val="none" w:sz="0" w:space="0" w:color="auto"/>
          </w:divBdr>
        </w:div>
        <w:div w:id="1308438806">
          <w:marLeft w:val="446"/>
          <w:marRight w:val="0"/>
          <w:marTop w:val="0"/>
          <w:marBottom w:val="0"/>
          <w:divBdr>
            <w:top w:val="none" w:sz="0" w:space="0" w:color="auto"/>
            <w:left w:val="none" w:sz="0" w:space="0" w:color="auto"/>
            <w:bottom w:val="none" w:sz="0" w:space="0" w:color="auto"/>
            <w:right w:val="none" w:sz="0" w:space="0" w:color="auto"/>
          </w:divBdr>
        </w:div>
        <w:div w:id="118914640">
          <w:marLeft w:val="446"/>
          <w:marRight w:val="0"/>
          <w:marTop w:val="0"/>
          <w:marBottom w:val="0"/>
          <w:divBdr>
            <w:top w:val="none" w:sz="0" w:space="0" w:color="auto"/>
            <w:left w:val="none" w:sz="0" w:space="0" w:color="auto"/>
            <w:bottom w:val="none" w:sz="0" w:space="0" w:color="auto"/>
            <w:right w:val="none" w:sz="0" w:space="0" w:color="auto"/>
          </w:divBdr>
        </w:div>
        <w:div w:id="1276668917">
          <w:marLeft w:val="446"/>
          <w:marRight w:val="0"/>
          <w:marTop w:val="0"/>
          <w:marBottom w:val="0"/>
          <w:divBdr>
            <w:top w:val="none" w:sz="0" w:space="0" w:color="auto"/>
            <w:left w:val="none" w:sz="0" w:space="0" w:color="auto"/>
            <w:bottom w:val="none" w:sz="0" w:space="0" w:color="auto"/>
            <w:right w:val="none" w:sz="0" w:space="0" w:color="auto"/>
          </w:divBdr>
        </w:div>
        <w:div w:id="339049437">
          <w:marLeft w:val="446"/>
          <w:marRight w:val="0"/>
          <w:marTop w:val="0"/>
          <w:marBottom w:val="0"/>
          <w:divBdr>
            <w:top w:val="none" w:sz="0" w:space="0" w:color="auto"/>
            <w:left w:val="none" w:sz="0" w:space="0" w:color="auto"/>
            <w:bottom w:val="none" w:sz="0" w:space="0" w:color="auto"/>
            <w:right w:val="none" w:sz="0" w:space="0" w:color="auto"/>
          </w:divBdr>
        </w:div>
      </w:divsChild>
    </w:div>
    <w:div w:id="1760560993">
      <w:bodyDiv w:val="1"/>
      <w:marLeft w:val="0"/>
      <w:marRight w:val="0"/>
      <w:marTop w:val="0"/>
      <w:marBottom w:val="0"/>
      <w:divBdr>
        <w:top w:val="none" w:sz="0" w:space="0" w:color="auto"/>
        <w:left w:val="none" w:sz="0" w:space="0" w:color="auto"/>
        <w:bottom w:val="none" w:sz="0" w:space="0" w:color="auto"/>
        <w:right w:val="none" w:sz="0" w:space="0" w:color="auto"/>
      </w:divBdr>
      <w:divsChild>
        <w:div w:id="1549684751">
          <w:marLeft w:val="547"/>
          <w:marRight w:val="0"/>
          <w:marTop w:val="0"/>
          <w:marBottom w:val="0"/>
          <w:divBdr>
            <w:top w:val="none" w:sz="0" w:space="0" w:color="auto"/>
            <w:left w:val="none" w:sz="0" w:space="0" w:color="auto"/>
            <w:bottom w:val="none" w:sz="0" w:space="0" w:color="auto"/>
            <w:right w:val="none" w:sz="0" w:space="0" w:color="auto"/>
          </w:divBdr>
        </w:div>
        <w:div w:id="49469169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diagramLayout" Target="diagrams/layout1.xm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3.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5B8DEFA-5FE0-4E8C-B195-446ABDB3FE62}" type="doc">
      <dgm:prSet loTypeId="urn:microsoft.com/office/officeart/2005/8/layout/cycle3" loCatId="cycle" qsTypeId="urn:microsoft.com/office/officeart/2005/8/quickstyle/simple1" qsCatId="simple" csTypeId="urn:microsoft.com/office/officeart/2005/8/colors/accent1_2" csCatId="accent1" phldr="1"/>
      <dgm:spPr/>
      <dgm:t>
        <a:bodyPr/>
        <a:lstStyle/>
        <a:p>
          <a:endParaRPr lang="en-GB"/>
        </a:p>
      </dgm:t>
    </dgm:pt>
    <dgm:pt modelId="{5034CEAD-E94A-4663-B7D7-60CAD00C65BA}">
      <dgm:prSet phldrT="[Text]"/>
      <dgm:spPr/>
      <dgm:t>
        <a:bodyPr/>
        <a:lstStyle/>
        <a:p>
          <a:r>
            <a:rPr lang="ar-SA"/>
            <a:t>التأهب</a:t>
          </a:r>
          <a:endParaRPr lang="en-GB"/>
        </a:p>
      </dgm:t>
    </dgm:pt>
    <dgm:pt modelId="{F0620975-5128-4801-AE20-7B22900E7838}" type="parTrans" cxnId="{B96E3077-4B85-4F2A-9D59-92618B5190E0}">
      <dgm:prSet/>
      <dgm:spPr/>
      <dgm:t>
        <a:bodyPr/>
        <a:lstStyle/>
        <a:p>
          <a:endParaRPr lang="en-GB"/>
        </a:p>
      </dgm:t>
    </dgm:pt>
    <dgm:pt modelId="{0CE7D388-497F-4495-85BC-A8A7E8C76145}" type="sibTrans" cxnId="{B96E3077-4B85-4F2A-9D59-92618B5190E0}">
      <dgm:prSet/>
      <dgm:spPr/>
      <dgm:t>
        <a:bodyPr/>
        <a:lstStyle/>
        <a:p>
          <a:endParaRPr lang="en-GB"/>
        </a:p>
      </dgm:t>
    </dgm:pt>
    <dgm:pt modelId="{C6B73157-255E-4A22-9B4C-37DAB5EFDF71}">
      <dgm:prSet phldrT="[Text]"/>
      <dgm:spPr/>
      <dgm:t>
        <a:bodyPr/>
        <a:lstStyle/>
        <a:p>
          <a:r>
            <a:rPr lang="ar-SA"/>
            <a:t>التعبئة</a:t>
          </a:r>
          <a:endParaRPr lang="en-GB"/>
        </a:p>
      </dgm:t>
    </dgm:pt>
    <dgm:pt modelId="{0440CC0D-1E8C-4C9F-9641-C4769CA1760F}" type="parTrans" cxnId="{5F85B565-771B-4176-86F6-DED545082447}">
      <dgm:prSet/>
      <dgm:spPr/>
      <dgm:t>
        <a:bodyPr/>
        <a:lstStyle/>
        <a:p>
          <a:endParaRPr lang="en-GB"/>
        </a:p>
      </dgm:t>
    </dgm:pt>
    <dgm:pt modelId="{3798163F-5762-4BE5-90EA-61DE34946146}" type="sibTrans" cxnId="{5F85B565-771B-4176-86F6-DED545082447}">
      <dgm:prSet/>
      <dgm:spPr/>
      <dgm:t>
        <a:bodyPr/>
        <a:lstStyle/>
        <a:p>
          <a:endParaRPr lang="en-GB"/>
        </a:p>
      </dgm:t>
    </dgm:pt>
    <dgm:pt modelId="{B7104C0A-EAF0-417D-BB3A-0629A82FB20C}">
      <dgm:prSet phldrT="[Text]"/>
      <dgm:spPr/>
      <dgm:t>
        <a:bodyPr/>
        <a:lstStyle/>
        <a:p>
          <a:r>
            <a:rPr lang="ar-SA"/>
            <a:t>التشغيل</a:t>
          </a:r>
          <a:endParaRPr lang="en-GB"/>
        </a:p>
      </dgm:t>
    </dgm:pt>
    <dgm:pt modelId="{18F7870C-070A-4C21-89EC-5BB857B69F06}" type="parTrans" cxnId="{8298971D-DAC6-446C-83B1-91EE1FE9760B}">
      <dgm:prSet/>
      <dgm:spPr/>
      <dgm:t>
        <a:bodyPr/>
        <a:lstStyle/>
        <a:p>
          <a:endParaRPr lang="en-GB"/>
        </a:p>
      </dgm:t>
    </dgm:pt>
    <dgm:pt modelId="{3CFB23BC-B0D9-4B96-928E-8382EDAF2456}" type="sibTrans" cxnId="{8298971D-DAC6-446C-83B1-91EE1FE9760B}">
      <dgm:prSet/>
      <dgm:spPr/>
      <dgm:t>
        <a:bodyPr/>
        <a:lstStyle/>
        <a:p>
          <a:endParaRPr lang="en-GB"/>
        </a:p>
      </dgm:t>
    </dgm:pt>
    <dgm:pt modelId="{D26CB3F8-3C91-411F-B239-943F23619F25}">
      <dgm:prSet phldrT="[Text]"/>
      <dgm:spPr/>
      <dgm:t>
        <a:bodyPr/>
        <a:lstStyle/>
        <a:p>
          <a:r>
            <a:rPr lang="ar-SA"/>
            <a:t>التسريح</a:t>
          </a:r>
          <a:endParaRPr lang="en-GB"/>
        </a:p>
      </dgm:t>
    </dgm:pt>
    <dgm:pt modelId="{BAD7C91F-846B-4460-861A-B86A0AAADE47}" type="parTrans" cxnId="{A257ECD0-F114-4074-A75D-7547FD89492E}">
      <dgm:prSet/>
      <dgm:spPr/>
      <dgm:t>
        <a:bodyPr/>
        <a:lstStyle/>
        <a:p>
          <a:endParaRPr lang="en-GB"/>
        </a:p>
      </dgm:t>
    </dgm:pt>
    <dgm:pt modelId="{A0A19B30-19F5-48A9-90A4-3AAA8DACB937}" type="sibTrans" cxnId="{A257ECD0-F114-4074-A75D-7547FD89492E}">
      <dgm:prSet/>
      <dgm:spPr/>
      <dgm:t>
        <a:bodyPr/>
        <a:lstStyle/>
        <a:p>
          <a:endParaRPr lang="en-GB"/>
        </a:p>
      </dgm:t>
    </dgm:pt>
    <dgm:pt modelId="{8538D19A-8674-4A4F-88F2-50B5D0D2A7D1}">
      <dgm:prSet phldrT="[Text]"/>
      <dgm:spPr/>
      <dgm:t>
        <a:bodyPr/>
        <a:lstStyle/>
        <a:p>
          <a:r>
            <a:rPr lang="ar-SA"/>
            <a:t>ما بعد البعثة</a:t>
          </a:r>
          <a:endParaRPr lang="en-GB"/>
        </a:p>
      </dgm:t>
    </dgm:pt>
    <dgm:pt modelId="{BE0D2248-A86F-4279-AB29-A45B87F786D0}" type="parTrans" cxnId="{AECEB860-BF7F-4059-94F3-659199907FFD}">
      <dgm:prSet/>
      <dgm:spPr/>
      <dgm:t>
        <a:bodyPr/>
        <a:lstStyle/>
        <a:p>
          <a:endParaRPr lang="en-GB"/>
        </a:p>
      </dgm:t>
    </dgm:pt>
    <dgm:pt modelId="{A790F277-F600-4270-AFAB-DC579C5CE4B4}" type="sibTrans" cxnId="{AECEB860-BF7F-4059-94F3-659199907FFD}">
      <dgm:prSet/>
      <dgm:spPr/>
      <dgm:t>
        <a:bodyPr/>
        <a:lstStyle/>
        <a:p>
          <a:endParaRPr lang="en-GB"/>
        </a:p>
      </dgm:t>
    </dgm:pt>
    <dgm:pt modelId="{F4692A6F-FB33-4A6D-8322-F0C20F31D084}" type="pres">
      <dgm:prSet presAssocID="{A5B8DEFA-5FE0-4E8C-B195-446ABDB3FE62}" presName="Name0" presStyleCnt="0">
        <dgm:presLayoutVars>
          <dgm:dir/>
          <dgm:resizeHandles val="exact"/>
        </dgm:presLayoutVars>
      </dgm:prSet>
      <dgm:spPr/>
    </dgm:pt>
    <dgm:pt modelId="{88218216-C0F6-4CB2-9192-9128A982FFDE}" type="pres">
      <dgm:prSet presAssocID="{A5B8DEFA-5FE0-4E8C-B195-446ABDB3FE62}" presName="cycle" presStyleCnt="0"/>
      <dgm:spPr/>
    </dgm:pt>
    <dgm:pt modelId="{0CEB25D8-2B39-4846-9EA1-50D03125B859}" type="pres">
      <dgm:prSet presAssocID="{5034CEAD-E94A-4663-B7D7-60CAD00C65BA}" presName="nodeFirstNode" presStyleLbl="node1" presStyleIdx="0" presStyleCnt="5" custScaleX="87181" custScaleY="53157">
        <dgm:presLayoutVars>
          <dgm:bulletEnabled val="1"/>
        </dgm:presLayoutVars>
      </dgm:prSet>
      <dgm:spPr/>
    </dgm:pt>
    <dgm:pt modelId="{F96E58B7-A495-4B46-8284-E0CA6D3452E2}" type="pres">
      <dgm:prSet presAssocID="{0CE7D388-497F-4495-85BC-A8A7E8C76145}" presName="sibTransFirstNode" presStyleLbl="bgShp" presStyleIdx="0" presStyleCnt="1"/>
      <dgm:spPr/>
    </dgm:pt>
    <dgm:pt modelId="{3A01B87C-5CF7-46D5-A588-4E71F9C987F0}" type="pres">
      <dgm:prSet presAssocID="{C6B73157-255E-4A22-9B4C-37DAB5EFDF71}" presName="nodeFollowingNodes" presStyleLbl="node1" presStyleIdx="1" presStyleCnt="5" custScaleX="80703" custScaleY="63447">
        <dgm:presLayoutVars>
          <dgm:bulletEnabled val="1"/>
        </dgm:presLayoutVars>
      </dgm:prSet>
      <dgm:spPr/>
    </dgm:pt>
    <dgm:pt modelId="{2167DA28-52FC-4ECF-BE98-6DB4E626D36E}" type="pres">
      <dgm:prSet presAssocID="{B7104C0A-EAF0-417D-BB3A-0629A82FB20C}" presName="nodeFollowingNodes" presStyleLbl="node1" presStyleIdx="2" presStyleCnt="5" custScaleX="74116" custScaleY="57216">
        <dgm:presLayoutVars>
          <dgm:bulletEnabled val="1"/>
        </dgm:presLayoutVars>
      </dgm:prSet>
      <dgm:spPr/>
    </dgm:pt>
    <dgm:pt modelId="{B71F604C-4C2C-4AA1-B20A-2CE3A48C464B}" type="pres">
      <dgm:prSet presAssocID="{D26CB3F8-3C91-411F-B239-943F23619F25}" presName="nodeFollowingNodes" presStyleLbl="node1" presStyleIdx="3" presStyleCnt="5" custScaleX="71919" custScaleY="61823">
        <dgm:presLayoutVars>
          <dgm:bulletEnabled val="1"/>
        </dgm:presLayoutVars>
      </dgm:prSet>
      <dgm:spPr/>
    </dgm:pt>
    <dgm:pt modelId="{B2756845-4028-45E5-9D99-3A09338A6AF3}" type="pres">
      <dgm:prSet presAssocID="{8538D19A-8674-4A4F-88F2-50B5D0D2A7D1}" presName="nodeFollowingNodes" presStyleLbl="node1" presStyleIdx="4" presStyleCnt="5" custScaleX="81594" custScaleY="61454">
        <dgm:presLayoutVars>
          <dgm:bulletEnabled val="1"/>
        </dgm:presLayoutVars>
      </dgm:prSet>
      <dgm:spPr/>
    </dgm:pt>
  </dgm:ptLst>
  <dgm:cxnLst>
    <dgm:cxn modelId="{90546405-B0CF-4B59-ADA1-4EE3FA26ABC8}" type="presOf" srcId="{D26CB3F8-3C91-411F-B239-943F23619F25}" destId="{B71F604C-4C2C-4AA1-B20A-2CE3A48C464B}" srcOrd="0" destOrd="0" presId="urn:microsoft.com/office/officeart/2005/8/layout/cycle3"/>
    <dgm:cxn modelId="{8298971D-DAC6-446C-83B1-91EE1FE9760B}" srcId="{A5B8DEFA-5FE0-4E8C-B195-446ABDB3FE62}" destId="{B7104C0A-EAF0-417D-BB3A-0629A82FB20C}" srcOrd="2" destOrd="0" parTransId="{18F7870C-070A-4C21-89EC-5BB857B69F06}" sibTransId="{3CFB23BC-B0D9-4B96-928E-8382EDAF2456}"/>
    <dgm:cxn modelId="{B0EC983A-BB19-4A6A-8419-E3A4C826957B}" type="presOf" srcId="{0CE7D388-497F-4495-85BC-A8A7E8C76145}" destId="{F96E58B7-A495-4B46-8284-E0CA6D3452E2}" srcOrd="0" destOrd="0" presId="urn:microsoft.com/office/officeart/2005/8/layout/cycle3"/>
    <dgm:cxn modelId="{AECEB860-BF7F-4059-94F3-659199907FFD}" srcId="{A5B8DEFA-5FE0-4E8C-B195-446ABDB3FE62}" destId="{8538D19A-8674-4A4F-88F2-50B5D0D2A7D1}" srcOrd="4" destOrd="0" parTransId="{BE0D2248-A86F-4279-AB29-A45B87F786D0}" sibTransId="{A790F277-F600-4270-AFAB-DC579C5CE4B4}"/>
    <dgm:cxn modelId="{F183EF64-2BDC-4B0D-9469-AE8A12D94C54}" type="presOf" srcId="{B7104C0A-EAF0-417D-BB3A-0629A82FB20C}" destId="{2167DA28-52FC-4ECF-BE98-6DB4E626D36E}" srcOrd="0" destOrd="0" presId="urn:microsoft.com/office/officeart/2005/8/layout/cycle3"/>
    <dgm:cxn modelId="{5F85B565-771B-4176-86F6-DED545082447}" srcId="{A5B8DEFA-5FE0-4E8C-B195-446ABDB3FE62}" destId="{C6B73157-255E-4A22-9B4C-37DAB5EFDF71}" srcOrd="1" destOrd="0" parTransId="{0440CC0D-1E8C-4C9F-9641-C4769CA1760F}" sibTransId="{3798163F-5762-4BE5-90EA-61DE34946146}"/>
    <dgm:cxn modelId="{B96E3077-4B85-4F2A-9D59-92618B5190E0}" srcId="{A5B8DEFA-5FE0-4E8C-B195-446ABDB3FE62}" destId="{5034CEAD-E94A-4663-B7D7-60CAD00C65BA}" srcOrd="0" destOrd="0" parTransId="{F0620975-5128-4801-AE20-7B22900E7838}" sibTransId="{0CE7D388-497F-4495-85BC-A8A7E8C76145}"/>
    <dgm:cxn modelId="{F3F7DCC3-0457-44AD-9ADF-BD5990D806CE}" type="presOf" srcId="{8538D19A-8674-4A4F-88F2-50B5D0D2A7D1}" destId="{B2756845-4028-45E5-9D99-3A09338A6AF3}" srcOrd="0" destOrd="0" presId="urn:microsoft.com/office/officeart/2005/8/layout/cycle3"/>
    <dgm:cxn modelId="{C42655CB-34FD-4535-A7D3-3AA03A09F4F2}" type="presOf" srcId="{C6B73157-255E-4A22-9B4C-37DAB5EFDF71}" destId="{3A01B87C-5CF7-46D5-A588-4E71F9C987F0}" srcOrd="0" destOrd="0" presId="urn:microsoft.com/office/officeart/2005/8/layout/cycle3"/>
    <dgm:cxn modelId="{A257ECD0-F114-4074-A75D-7547FD89492E}" srcId="{A5B8DEFA-5FE0-4E8C-B195-446ABDB3FE62}" destId="{D26CB3F8-3C91-411F-B239-943F23619F25}" srcOrd="3" destOrd="0" parTransId="{BAD7C91F-846B-4460-861A-B86A0AAADE47}" sibTransId="{A0A19B30-19F5-48A9-90A4-3AAA8DACB937}"/>
    <dgm:cxn modelId="{FFB21BE7-C704-493C-B77B-28161707052D}" type="presOf" srcId="{5034CEAD-E94A-4663-B7D7-60CAD00C65BA}" destId="{0CEB25D8-2B39-4846-9EA1-50D03125B859}" srcOrd="0" destOrd="0" presId="urn:microsoft.com/office/officeart/2005/8/layout/cycle3"/>
    <dgm:cxn modelId="{5CA587FB-A15F-4494-A6A3-719CD745A472}" type="presOf" srcId="{A5B8DEFA-5FE0-4E8C-B195-446ABDB3FE62}" destId="{F4692A6F-FB33-4A6D-8322-F0C20F31D084}" srcOrd="0" destOrd="0" presId="urn:microsoft.com/office/officeart/2005/8/layout/cycle3"/>
    <dgm:cxn modelId="{9BCAC133-0AC8-44BD-A56D-710901C28085}" type="presParOf" srcId="{F4692A6F-FB33-4A6D-8322-F0C20F31D084}" destId="{88218216-C0F6-4CB2-9192-9128A982FFDE}" srcOrd="0" destOrd="0" presId="urn:microsoft.com/office/officeart/2005/8/layout/cycle3"/>
    <dgm:cxn modelId="{257A0213-C681-44B9-807A-1DC9CBC0DA53}" type="presParOf" srcId="{88218216-C0F6-4CB2-9192-9128A982FFDE}" destId="{0CEB25D8-2B39-4846-9EA1-50D03125B859}" srcOrd="0" destOrd="0" presId="urn:microsoft.com/office/officeart/2005/8/layout/cycle3"/>
    <dgm:cxn modelId="{7E59F1F5-273B-4132-BC4B-285217C0CECE}" type="presParOf" srcId="{88218216-C0F6-4CB2-9192-9128A982FFDE}" destId="{F96E58B7-A495-4B46-8284-E0CA6D3452E2}" srcOrd="1" destOrd="0" presId="urn:microsoft.com/office/officeart/2005/8/layout/cycle3"/>
    <dgm:cxn modelId="{7BC2C427-5A86-4529-9FDE-D369FE6FD86E}" type="presParOf" srcId="{88218216-C0F6-4CB2-9192-9128A982FFDE}" destId="{3A01B87C-5CF7-46D5-A588-4E71F9C987F0}" srcOrd="2" destOrd="0" presId="urn:microsoft.com/office/officeart/2005/8/layout/cycle3"/>
    <dgm:cxn modelId="{264E1693-CCC6-46FB-A33E-1A88E88D14BD}" type="presParOf" srcId="{88218216-C0F6-4CB2-9192-9128A982FFDE}" destId="{2167DA28-52FC-4ECF-BE98-6DB4E626D36E}" srcOrd="3" destOrd="0" presId="urn:microsoft.com/office/officeart/2005/8/layout/cycle3"/>
    <dgm:cxn modelId="{5FDB3296-E76C-4B61-A09B-9DF7582554A0}" type="presParOf" srcId="{88218216-C0F6-4CB2-9192-9128A982FFDE}" destId="{B71F604C-4C2C-4AA1-B20A-2CE3A48C464B}" srcOrd="4" destOrd="0" presId="urn:microsoft.com/office/officeart/2005/8/layout/cycle3"/>
    <dgm:cxn modelId="{87F03EE8-993B-4182-975C-149299567A4A}" type="presParOf" srcId="{88218216-C0F6-4CB2-9192-9128A982FFDE}" destId="{B2756845-4028-45E5-9D99-3A09338A6AF3}" srcOrd="5" destOrd="0" presId="urn:microsoft.com/office/officeart/2005/8/layout/cycle3"/>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96E58B7-A495-4B46-8284-E0CA6D3452E2}">
      <dsp:nvSpPr>
        <dsp:cNvPr id="0" name=""/>
        <dsp:cNvSpPr/>
      </dsp:nvSpPr>
      <dsp:spPr>
        <a:xfrm>
          <a:off x="444787" y="27136"/>
          <a:ext cx="3441595" cy="3441595"/>
        </a:xfrm>
        <a:prstGeom prst="circularArrow">
          <a:avLst>
            <a:gd name="adj1" fmla="val 5544"/>
            <a:gd name="adj2" fmla="val 330680"/>
            <a:gd name="adj3" fmla="val 14163540"/>
            <a:gd name="adj4" fmla="val 17154305"/>
            <a:gd name="adj5" fmla="val 5757"/>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0CEB25D8-2B39-4846-9EA1-50D03125B859}">
      <dsp:nvSpPr>
        <dsp:cNvPr id="0" name=""/>
        <dsp:cNvSpPr/>
      </dsp:nvSpPr>
      <dsp:spPr>
        <a:xfrm>
          <a:off x="1498285" y="171758"/>
          <a:ext cx="1334598" cy="406873"/>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marL="0" lvl="0" indent="0" algn="ctr" defTabSz="755650">
            <a:lnSpc>
              <a:spcPct val="90000"/>
            </a:lnSpc>
            <a:spcBef>
              <a:spcPct val="0"/>
            </a:spcBef>
            <a:spcAft>
              <a:spcPct val="35000"/>
            </a:spcAft>
            <a:buNone/>
          </a:pPr>
          <a:r>
            <a:rPr lang="ar-SA" sz="1700" kern="1200"/>
            <a:t>التأهب</a:t>
          </a:r>
          <a:endParaRPr lang="en-GB" sz="1700" kern="1200"/>
        </a:p>
      </dsp:txBody>
      <dsp:txXfrm>
        <a:off x="1518147" y="191620"/>
        <a:ext cx="1294874" cy="367149"/>
      </dsp:txXfrm>
    </dsp:sp>
    <dsp:sp modelId="{3A01B87C-5CF7-46D5-A588-4E71F9C987F0}">
      <dsp:nvSpPr>
        <dsp:cNvPr id="0" name=""/>
        <dsp:cNvSpPr/>
      </dsp:nvSpPr>
      <dsp:spPr>
        <a:xfrm>
          <a:off x="2943669" y="1146485"/>
          <a:ext cx="1235431" cy="485635"/>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marL="0" lvl="0" indent="0" algn="ctr" defTabSz="755650">
            <a:lnSpc>
              <a:spcPct val="90000"/>
            </a:lnSpc>
            <a:spcBef>
              <a:spcPct val="0"/>
            </a:spcBef>
            <a:spcAft>
              <a:spcPct val="35000"/>
            </a:spcAft>
            <a:buNone/>
          </a:pPr>
          <a:r>
            <a:rPr lang="ar-SA" sz="1700" kern="1200"/>
            <a:t>التعبئة</a:t>
          </a:r>
          <a:endParaRPr lang="en-GB" sz="1700" kern="1200"/>
        </a:p>
      </dsp:txBody>
      <dsp:txXfrm>
        <a:off x="2967376" y="1170192"/>
        <a:ext cx="1188017" cy="438221"/>
      </dsp:txXfrm>
    </dsp:sp>
    <dsp:sp modelId="{2167DA28-52FC-4ECF-BE98-6DB4E626D36E}">
      <dsp:nvSpPr>
        <dsp:cNvPr id="0" name=""/>
        <dsp:cNvSpPr/>
      </dsp:nvSpPr>
      <dsp:spPr>
        <a:xfrm>
          <a:off x="2460939" y="2811193"/>
          <a:ext cx="1134594" cy="437941"/>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marL="0" lvl="0" indent="0" algn="ctr" defTabSz="755650">
            <a:lnSpc>
              <a:spcPct val="90000"/>
            </a:lnSpc>
            <a:spcBef>
              <a:spcPct val="0"/>
            </a:spcBef>
            <a:spcAft>
              <a:spcPct val="35000"/>
            </a:spcAft>
            <a:buNone/>
          </a:pPr>
          <a:r>
            <a:rPr lang="ar-SA" sz="1700" kern="1200"/>
            <a:t>التشغيل</a:t>
          </a:r>
          <a:endParaRPr lang="en-GB" sz="1700" kern="1200"/>
        </a:p>
      </dsp:txBody>
      <dsp:txXfrm>
        <a:off x="2482318" y="2832572"/>
        <a:ext cx="1091836" cy="395183"/>
      </dsp:txXfrm>
    </dsp:sp>
    <dsp:sp modelId="{B71F604C-4C2C-4AA1-B20A-2CE3A48C464B}">
      <dsp:nvSpPr>
        <dsp:cNvPr id="0" name=""/>
        <dsp:cNvSpPr/>
      </dsp:nvSpPr>
      <dsp:spPr>
        <a:xfrm>
          <a:off x="752451" y="2793562"/>
          <a:ext cx="1100962" cy="473204"/>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marL="0" lvl="0" indent="0" algn="ctr" defTabSz="755650">
            <a:lnSpc>
              <a:spcPct val="90000"/>
            </a:lnSpc>
            <a:spcBef>
              <a:spcPct val="0"/>
            </a:spcBef>
            <a:spcAft>
              <a:spcPct val="35000"/>
            </a:spcAft>
            <a:buNone/>
          </a:pPr>
          <a:r>
            <a:rPr lang="ar-SA" sz="1700" kern="1200"/>
            <a:t>التسريح</a:t>
          </a:r>
          <a:endParaRPr lang="en-GB" sz="1700" kern="1200"/>
        </a:p>
      </dsp:txBody>
      <dsp:txXfrm>
        <a:off x="775551" y="2816662"/>
        <a:ext cx="1054762" cy="427004"/>
      </dsp:txXfrm>
    </dsp:sp>
    <dsp:sp modelId="{B2756845-4028-45E5-9D99-3A09338A6AF3}">
      <dsp:nvSpPr>
        <dsp:cNvPr id="0" name=""/>
        <dsp:cNvSpPr/>
      </dsp:nvSpPr>
      <dsp:spPr>
        <a:xfrm>
          <a:off x="145249" y="1154112"/>
          <a:ext cx="1249070" cy="470380"/>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marL="0" lvl="0" indent="0" algn="ctr" defTabSz="755650">
            <a:lnSpc>
              <a:spcPct val="90000"/>
            </a:lnSpc>
            <a:spcBef>
              <a:spcPct val="0"/>
            </a:spcBef>
            <a:spcAft>
              <a:spcPct val="35000"/>
            </a:spcAft>
            <a:buNone/>
          </a:pPr>
          <a:r>
            <a:rPr lang="ar-SA" sz="1700" kern="1200"/>
            <a:t>ما بعد البعثة</a:t>
          </a:r>
          <a:endParaRPr lang="en-GB" sz="1700" kern="1200"/>
        </a:p>
      </dsp:txBody>
      <dsp:txXfrm>
        <a:off x="168211" y="1177074"/>
        <a:ext cx="1203146" cy="424456"/>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Arial"/>
      </a:majorFont>
      <a:minorFont>
        <a:latin typeface="Calibri" panose="020F050202020403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B7C7DF9AA3604DBA9EFFD7647AF866" ma:contentTypeVersion="15" ma:contentTypeDescription="Create a new document." ma:contentTypeScope="" ma:versionID="7ff2ec420e656037f61f48eaede6f3ce">
  <xsd:schema xmlns:xsd="http://www.w3.org/2001/XMLSchema" xmlns:xs="http://www.w3.org/2001/XMLSchema" xmlns:p="http://schemas.microsoft.com/office/2006/metadata/properties" xmlns:ns2="f1bae91e-3907-439b-bcc8-55e41ee05a99" xmlns:ns3="1f53fade-b7a2-46aa-9ff1-583a0afc40b4" targetNamespace="http://schemas.microsoft.com/office/2006/metadata/properties" ma:root="true" ma:fieldsID="decaa93142d5c27ad887bff8ec024d4d" ns2:_="" ns3:_="">
    <xsd:import namespace="f1bae91e-3907-439b-bcc8-55e41ee05a99"/>
    <xsd:import namespace="1f53fade-b7a2-46aa-9ff1-583a0afc40b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bae91e-3907-439b-bcc8-55e41ee05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f53fade-b7a2-46aa-9ff1-583a0afc40b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f1bae91e-3907-439b-bcc8-55e41ee05a9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20271-1078-4F2C-8BC6-725C6F86E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bae91e-3907-439b-bcc8-55e41ee05a99"/>
    <ds:schemaRef ds:uri="1f53fade-b7a2-46aa-9ff1-583a0afc40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D53FC3-B2F1-4DFC-8F3C-7E5EF65B359A}">
  <ds:schemaRefs>
    <ds:schemaRef ds:uri="http://schemas.microsoft.com/sharepoint/v3/contenttype/forms"/>
  </ds:schemaRefs>
</ds:datastoreItem>
</file>

<file path=customXml/itemProps3.xml><?xml version="1.0" encoding="utf-8"?>
<ds:datastoreItem xmlns:ds="http://schemas.openxmlformats.org/officeDocument/2006/customXml" ds:itemID="{6B734635-C93D-4E1A-8D9B-973CADF7CD9F}">
  <ds:schemaRefs>
    <ds:schemaRef ds:uri="http://schemas.microsoft.com/office/2006/metadata/properties"/>
    <ds:schemaRef ds:uri="http://schemas.microsoft.com/office/infopath/2007/PartnerControls"/>
    <ds:schemaRef ds:uri="f1bae91e-3907-439b-bcc8-55e41ee05a99"/>
  </ds:schemaRefs>
</ds:datastoreItem>
</file>

<file path=customXml/itemProps4.xml><?xml version="1.0" encoding="utf-8"?>
<ds:datastoreItem xmlns:ds="http://schemas.openxmlformats.org/officeDocument/2006/customXml" ds:itemID="{C04D40C6-4764-4F23-8E84-8ABCA3002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1535</Words>
  <Characters>8753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WOG ICT</Company>
  <LinksUpToDate>false</LinksUpToDate>
  <CharactersWithSpaces>10268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Anwar ABDULLAH (SCDF)</dc:creator>
  <cp:keywords/>
  <dc:description/>
  <cp:lastModifiedBy>Ashraf Khedr</cp:lastModifiedBy>
  <cp:revision>3</cp:revision>
  <cp:lastPrinted>2023-02-20T10:07:00Z</cp:lastPrinted>
  <dcterms:created xsi:type="dcterms:W3CDTF">2023-02-20T10:06:00Z</dcterms:created>
  <dcterms:modified xsi:type="dcterms:W3CDTF">2023-02-20T10:07:00Z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f9331f7-95a2-472a-92bc-d73219eb516b_Enabled">
    <vt:lpwstr>True</vt:lpwstr>
  </property>
  <property fmtid="{D5CDD505-2E9C-101B-9397-08002B2CF9AE}" pid="3" name="MSIP_Label_3f9331f7-95a2-472a-92bc-d73219eb516b_SiteId">
    <vt:lpwstr>0b11c524-9a1c-4e1b-84cb-6336aefc2243</vt:lpwstr>
  </property>
  <property fmtid="{D5CDD505-2E9C-101B-9397-08002B2CF9AE}" pid="4" name="MSIP_Label_3f9331f7-95a2-472a-92bc-d73219eb516b_Owner">
    <vt:lpwstr>Anwar_ABDULLAH@scdf.gov.sg</vt:lpwstr>
  </property>
  <property fmtid="{D5CDD505-2E9C-101B-9397-08002B2CF9AE}" pid="5" name="MSIP_Label_3f9331f7-95a2-472a-92bc-d73219eb516b_SetDate">
    <vt:lpwstr>2019-11-08T07:12:15.8521124Z</vt:lpwstr>
  </property>
  <property fmtid="{D5CDD505-2E9C-101B-9397-08002B2CF9AE}" pid="6" name="MSIP_Label_3f9331f7-95a2-472a-92bc-d73219eb516b_Name">
    <vt:lpwstr>CONFIDENTIAL</vt:lpwstr>
  </property>
  <property fmtid="{D5CDD505-2E9C-101B-9397-08002B2CF9AE}" pid="7" name="MSIP_Label_3f9331f7-95a2-472a-92bc-d73219eb516b_Application">
    <vt:lpwstr>Microsoft Azure Information Protection</vt:lpwstr>
  </property>
  <property fmtid="{D5CDD505-2E9C-101B-9397-08002B2CF9AE}" pid="8" name="MSIP_Label_3f9331f7-95a2-472a-92bc-d73219eb516b_ActionId">
    <vt:lpwstr>364d92f7-564b-423a-9f53-7ae434101cb8</vt:lpwstr>
  </property>
  <property fmtid="{D5CDD505-2E9C-101B-9397-08002B2CF9AE}" pid="9" name="MSIP_Label_3f9331f7-95a2-472a-92bc-d73219eb516b_Extended_MSFT_Method">
    <vt:lpwstr>Automatic</vt:lpwstr>
  </property>
  <property fmtid="{D5CDD505-2E9C-101B-9397-08002B2CF9AE}" pid="10" name="MSIP_Label_4f288355-fb4c-44cd-b9ca-40cfc2aee5f8_Enabled">
    <vt:lpwstr>True</vt:lpwstr>
  </property>
  <property fmtid="{D5CDD505-2E9C-101B-9397-08002B2CF9AE}" pid="11" name="MSIP_Label_4f288355-fb4c-44cd-b9ca-40cfc2aee5f8_SiteId">
    <vt:lpwstr>0b11c524-9a1c-4e1b-84cb-6336aefc2243</vt:lpwstr>
  </property>
  <property fmtid="{D5CDD505-2E9C-101B-9397-08002B2CF9AE}" pid="12" name="MSIP_Label_4f288355-fb4c-44cd-b9ca-40cfc2aee5f8_Owner">
    <vt:lpwstr>Anwar_ABDULLAH@scdf.gov.sg</vt:lpwstr>
  </property>
  <property fmtid="{D5CDD505-2E9C-101B-9397-08002B2CF9AE}" pid="13" name="MSIP_Label_4f288355-fb4c-44cd-b9ca-40cfc2aee5f8_SetDate">
    <vt:lpwstr>2019-11-08T07:12:15.8521124Z</vt:lpwstr>
  </property>
  <property fmtid="{D5CDD505-2E9C-101B-9397-08002B2CF9AE}" pid="14" name="MSIP_Label_4f288355-fb4c-44cd-b9ca-40cfc2aee5f8_Name">
    <vt:lpwstr>NON-SENSITIVE</vt:lpwstr>
  </property>
  <property fmtid="{D5CDD505-2E9C-101B-9397-08002B2CF9AE}" pid="15" name="MSIP_Label_4f288355-fb4c-44cd-b9ca-40cfc2aee5f8_Application">
    <vt:lpwstr>Microsoft Azure Information Protection</vt:lpwstr>
  </property>
  <property fmtid="{D5CDD505-2E9C-101B-9397-08002B2CF9AE}" pid="16" name="MSIP_Label_4f288355-fb4c-44cd-b9ca-40cfc2aee5f8_ActionId">
    <vt:lpwstr>364d92f7-564b-423a-9f53-7ae434101cb8</vt:lpwstr>
  </property>
  <property fmtid="{D5CDD505-2E9C-101B-9397-08002B2CF9AE}" pid="17" name="MSIP_Label_4f288355-fb4c-44cd-b9ca-40cfc2aee5f8_Parent">
    <vt:lpwstr>3f9331f7-95a2-472a-92bc-d73219eb516b</vt:lpwstr>
  </property>
  <property fmtid="{D5CDD505-2E9C-101B-9397-08002B2CF9AE}" pid="18" name="MSIP_Label_4f288355-fb4c-44cd-b9ca-40cfc2aee5f8_Extended_MSFT_Method">
    <vt:lpwstr>Automatic</vt:lpwstr>
  </property>
  <property fmtid="{D5CDD505-2E9C-101B-9397-08002B2CF9AE}" pid="19" name="Sensitivity">
    <vt:lpwstr>CONFIDENTIAL NON-SENSITIVE</vt:lpwstr>
  </property>
  <property fmtid="{D5CDD505-2E9C-101B-9397-08002B2CF9AE}" pid="20" name="ContentTypeId">
    <vt:lpwstr>0x010100AFB7C7DF9AA3604DBA9EFFD7647AF866</vt:lpwstr>
  </property>
</Properties>
</file>